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A2F08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43549CA8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370"/>
        <w:gridCol w:w="375"/>
        <w:gridCol w:w="857"/>
        <w:gridCol w:w="1003"/>
        <w:gridCol w:w="1444"/>
        <w:gridCol w:w="150"/>
        <w:gridCol w:w="798"/>
        <w:gridCol w:w="796"/>
        <w:gridCol w:w="704"/>
        <w:gridCol w:w="1039"/>
      </w:tblGrid>
      <w:tr w14:paraId="09632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13D15ED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4"/>
            <w:vAlign w:val="center"/>
          </w:tcPr>
          <w:p w14:paraId="38AC32DB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高中语文</w:t>
            </w:r>
          </w:p>
        </w:tc>
        <w:tc>
          <w:tcPr>
            <w:tcW w:w="1506" w:type="dxa"/>
            <w:vAlign w:val="center"/>
          </w:tcPr>
          <w:p w14:paraId="1922535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421492E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4E0CB6D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74A11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76D99FB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4"/>
            <w:vAlign w:val="center"/>
          </w:tcPr>
          <w:p w14:paraId="5319802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温亚楠</w:t>
            </w:r>
          </w:p>
        </w:tc>
        <w:tc>
          <w:tcPr>
            <w:tcW w:w="1506" w:type="dxa"/>
            <w:vAlign w:val="center"/>
          </w:tcPr>
          <w:p w14:paraId="49451DD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41AE0428">
            <w:pPr>
              <w:spacing w:line="36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2025级美术4班</w:t>
            </w:r>
          </w:p>
        </w:tc>
      </w:tr>
      <w:tr w14:paraId="44924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0A6D45E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vAlign w:val="center"/>
          </w:tcPr>
          <w:p w14:paraId="43699031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14:paraId="0B189B4D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E8D546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78BB2E4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7DF878DA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740472A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67" w:type="dxa"/>
            <w:gridSpan w:val="2"/>
            <w:vAlign w:val="center"/>
          </w:tcPr>
          <w:p w14:paraId="55E56B3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0690B1E2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54957F6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56A5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DA76EFC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0015D5A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2"/>
            <w:vAlign w:val="center"/>
          </w:tcPr>
          <w:p w14:paraId="0E77E5B2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D646F9A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4A01721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FBC597A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5D1050D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2093759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0F25CC0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43EC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164D1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0B389C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703389B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6FF3EF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  <w:p w14:paraId="31A4867E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48B5373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4397F4E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6702013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0383B6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3E834C2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5ACEB28E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6312F91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641E0B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5E90AEE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032FDA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6B4DE5E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0F4BA6A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771B91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46A6CA57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1560FCA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14448D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6A3AA1D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671572E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395A62B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48E8691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69A87A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1EDC91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46E98A9F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702B653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36A39BC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50EEDD7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06CE1F5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551E06F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51DB27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7A885D4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75293D1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FB7BBF7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04F450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74E2327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AA0B2CD">
            <w:pPr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3FC6A7F7">
            <w:pPr>
              <w:jc w:val="center"/>
              <w:rPr>
                <w:rFonts w:hint="eastAsia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学情分析</w:t>
            </w:r>
          </w:p>
        </w:tc>
        <w:tc>
          <w:tcPr>
            <w:tcW w:w="8437" w:type="dxa"/>
            <w:gridSpan w:val="10"/>
            <w:vAlign w:val="center"/>
          </w:tcPr>
          <w:p w14:paraId="349AAD2E">
            <w:pPr>
              <w:pStyle w:val="2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t>第一单元：中华传统文化经典研习（魏晋至明散文）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单元属于“中华传统文化经典研习”学习任务群，选取了魏晋到明代的六篇经典散文，体裁涵盖“表”“志”“序”“辞”“传”“记”，旨在让学生通过研习古人“事、情、理”融为一体的作品，积累文言阅读经验，体察古人的人生感悟与生命思考，增进对中华优秀传统文化的理解。</w:t>
            </w:r>
          </w:p>
          <w:p w14:paraId="320F42C8"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7"/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选文篇目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陈情表》（李密） - “教读”</w:t>
            </w:r>
          </w:p>
          <w:p w14:paraId="381E4C59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《项脊轩志》（归有光） - “自读”</w:t>
            </w:r>
          </w:p>
          <w:p w14:paraId="7C093F8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《兰亭集序》（王羲之） - “教读”</w:t>
            </w:r>
          </w:p>
          <w:p w14:paraId="5F49869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《归去来兮辞并序》（陶渊明） - “教读”</w:t>
            </w:r>
          </w:p>
          <w:p w14:paraId="64E7B90D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《种树郭橐驼传》（柳宗元） - “自读”</w:t>
            </w:r>
          </w:p>
          <w:p w14:paraId="6D06DB0B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《石钟山记》（苏轼） - “自读”</w:t>
            </w:r>
          </w:p>
          <w:p w14:paraId="112CEE67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核心教学价值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42B34CA0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体裁多样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：基本覆盖了中学生常见的古代散文体式（除议论文外），有助于学生系统了解古代散文的文体特点。</w:t>
            </w:r>
          </w:p>
          <w:p w14:paraId="6EDD4F58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情理兼备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：这些作品或以情见长（如《陈情表》的至孝、《项脊轩志》的亲情），或以理取胜（如《种树郭橐驼传》的养人术、《石钟山记》的求实精神），是“事、情、理”融合的典范。</w:t>
            </w:r>
          </w:p>
          <w:p w14:paraId="3AD3344E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文化传承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：通过文本研习，引导学生感悟古人的人格魅力（如李密的孝谨、陶渊明的归隐、苏轼的求真），完善自身人格，浸润心灵。</w:t>
            </w:r>
          </w:p>
          <w:p w14:paraId="7E52AFC6">
            <w:pPr>
              <w:pStyle w:val="2"/>
              <w:keepNext w:val="0"/>
              <w:keepLines w:val="0"/>
              <w:widowControl/>
              <w:suppressLineNumbers w:val="0"/>
              <w:ind w:firstLine="542" w:firstLineChars="200"/>
            </w:pPr>
            <w:r>
              <w:t xml:space="preserve"> 第二单元：中国现当代作家作品研习（时代镜像）</w:t>
            </w:r>
          </w:p>
          <w:p w14:paraId="4501715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单元属于“中国现当代作家作品研习”学习任务群，人文主题为“时代镜像”。通过研习现当代文学中的小说、诗歌、散文、戏剧名作，引导学生结合社会历史背景，理解作品的思想文化内涵，洞察民族心理和时代精神，把握百年中国社会的历史变迁。</w:t>
            </w:r>
          </w:p>
          <w:p w14:paraId="708ADE5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选文篇目与体裁组合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22234E8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小说</w:t>
            </w:r>
          </w:p>
          <w:p w14:paraId="0C0DFB04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诗歌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：《大堰河——我的保姆》（艾青）、《再别康桥》（徐志摩）</w:t>
            </w:r>
          </w:p>
          <w:p w14:paraId="505F023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散文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：《风景谈》（茅盾）、《秦腔》（贾平凹）</w:t>
            </w:r>
          </w:p>
          <w:p w14:paraId="043E3E0D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戏剧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：《茶馆》（老舍）</w:t>
            </w:r>
          </w:p>
          <w:p w14:paraId="17D87796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核心教学价值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2411D43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全景视野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：涵盖了现当代文学的主要体裁和重要流派，展示了百年中国文学的发展样貌。</w:t>
            </w:r>
          </w:p>
          <w:p w14:paraId="3C72AA4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对比研习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：教材设计注重对比，如《阿Q正传》的批判性与《边城》的牧歌情调；艾青自由体诗与徐志摩格律诗的差异。</w:t>
            </w:r>
          </w:p>
          <w:p w14:paraId="323AF457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细读能力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：强调对作品的“细读”，把握作品的精神内涵与艺术价值，撰写读书笔记或评论，提升个性化解读能力。</w:t>
            </w:r>
          </w:p>
          <w:p w14:paraId="40A7D82F">
            <w:pPr>
              <w:pStyle w:val="2"/>
              <w:keepNext w:val="0"/>
              <w:keepLines w:val="0"/>
              <w:widowControl/>
              <w:suppressLineNumbers w:val="0"/>
            </w:pPr>
            <w:r>
              <w:t>第三单元：外国作家作品研习（人生的墨彩）</w:t>
            </w:r>
          </w:p>
          <w:p w14:paraId="77C37BA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单元主要选编了外国小说，属于“外国作家作品研习”学习任务群。通过阅读19世纪至20世纪有代表性的外国文学作品，引导学生从不同角度理解人性、命运、社会等重大主题，拓宽国际视野，提升跨文化理解能力。</w:t>
            </w:r>
          </w:p>
          <w:p w14:paraId="1CB8B40A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选文篇目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0602D3B1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《一个消逝了的山村》（冯至）</w:t>
            </w:r>
          </w:p>
          <w:p w14:paraId="7B5A38F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《秦晋崤之战》（《左传》）</w:t>
            </w:r>
          </w:p>
          <w:p w14:paraId="6E698C0A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《大卫·科波菲尔（节选）》（狄更斯）</w:t>
            </w:r>
          </w:p>
          <w:p w14:paraId="7EEC13B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《复活（节选）》（列夫·托尔斯泰）</w:t>
            </w:r>
          </w:p>
          <w:p w14:paraId="000ABFEA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《老人与海（节选）》（海明威）</w:t>
            </w:r>
          </w:p>
          <w:p w14:paraId="0B22172B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《百年孤独（节选）》（加西亚·马尔克斯）</w:t>
            </w:r>
          </w:p>
          <w:p w14:paraId="0501603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核心教学价值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7DAB22D0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经典性与代表性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：选文均为世界文学史上的经典名篇，代表了现实主义、现代主义等多种流派。</w:t>
            </w:r>
          </w:p>
          <w:p w14:paraId="1C53221D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人性探索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：聚焦于人在特定环境下的生存状态与精神世界，如圣地亚哥的“硬汉精神”、聂赫留朵夫的“精神复活”。</w:t>
            </w:r>
          </w:p>
          <w:p w14:paraId="5B750F1E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叙事艺术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：学习不同国家、不同时期小说的叙事视角、结构技巧和语言风格（如《百年孤独》的魔幻现实主义笔法）。</w:t>
            </w:r>
          </w:p>
          <w:p w14:paraId="7289AF7D">
            <w:pPr>
              <w:pStyle w:val="2"/>
              <w:keepNext w:val="0"/>
              <w:keepLines w:val="0"/>
              <w:widowControl/>
              <w:suppressLineNumbers w:val="0"/>
              <w:ind w:firstLine="271" w:firstLineChars="100"/>
            </w:pPr>
            <w:r>
              <w:t>第四单元：科学文化论著研习（探索与创新）</w:t>
            </w:r>
          </w:p>
          <w:p w14:paraId="2361609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单元属于“科学文化论著研习”学习任务群，选编了自然科学与社会科学领域的说明文和议论文。旨在引导学生掌握说明文和议论文的阅读方法，理清文章的逻辑思路，筛选主要信息，培养科学精神和思辨能力。</w:t>
            </w:r>
          </w:p>
          <w:p w14:paraId="447C4C0C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选文篇目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：《天文学上的旷世之争》（关增建）《自然选择的证明》（达尔文）</w:t>
            </w:r>
          </w:p>
          <w:p w14:paraId="557DED49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《宇宙的边疆》（卡尔·萨根）《一名物理学家的教育历程》（加来道雄）</w:t>
            </w:r>
          </w:p>
          <w:p w14:paraId="041FC62A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科学精神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：通过《天文学上的旷世之争》等文章，了解中国古代科技成就及科学论争的特点，培养实事求是、勇于探究的科学态度。</w:t>
            </w:r>
          </w:p>
          <w:p w14:paraId="4E246391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逻辑思维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：学习如何基于证据和逻辑进行科学论证，把握说明顺序和论证方法。</w:t>
            </w:r>
          </w:p>
          <w:p w14:paraId="45756A93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人文关怀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：理解科学与人文的关系，如卡尔·萨根在介绍宇宙时所体现的宏大视角与人文忧思。</w:t>
            </w:r>
          </w:p>
          <w:p w14:paraId="6FA5F8F8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796E44DF">
            <w:pPr>
              <w:bidi w:val="0"/>
              <w:ind w:firstLine="407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高二学生经过必修课程的系统学习，已具备较为扎实的语文基础和初步的文本解读能力。他们对诗歌、散文、小说、戏剧等各类文学体裁的特点有了基本认知，能够借助注释和工具书疏通文言文的大意，对现当代文学和外国文学的阅读也积累了相当的经验。在思维层面，学生的逻辑思维能力和批判性思维意识正在逐步形成，开始不满足于浅层的“是什么”，而更倾向于探究“为什么”和“怎么样”，渴望对文本进行深度解读和个性化思考。在情感态度上，他们正处于世界观、人生观、价值观形成的关键时期，对社会、人生、自我有强烈的探索欲和表达欲，但其认知的广度和深度仍有待拓展和深化。</w:t>
            </w:r>
          </w:p>
          <w:p w14:paraId="3480C160">
            <w:pPr>
              <w:bidi w:val="0"/>
              <w:ind w:firstLine="407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从知识储备来看，学生对本册涉及的文学体裁并不陌生。对于古代散文，他们熟悉“表”“序”“记”等常见文体，但对“志”“辞”“传”等文体的深层特点及魏晋至明代散文的发展脉络，仍缺乏系统性的把握。在现当代文学方面，他们对鲁迅、沈从文、老舍等作家有一定了解，但对《阿Q正传》所代表的国民性批判深度、《边城》的牧歌情调与悲剧内核，以及《茶馆》独特的戏剧结构，理解尚停留在表层。对于外国文学，学生对现实主义小说较为熟悉，但对《百年孤独》的魔幻现实主义、《老人与海》的象征主义等现代派作品的阅读存在畏难情绪。在科学文化论著方面，学生习惯于文学性文本的感性阅读，对说明文和议论文的理性分析、逻辑梳理能力相对薄弱，筛选信息、概括观点的能力有待加强。</w:t>
            </w:r>
          </w:p>
        </w:tc>
      </w:tr>
      <w:tr w14:paraId="4C57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5485AB0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57BED71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6119C1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49AF487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51BF877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9"/>
            <w:vAlign w:val="center"/>
          </w:tcPr>
          <w:p w14:paraId="5943CF9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文言积累与理解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：通过第一单元魏晋至明散文的学习，积累常见的文言实词、虚词及特殊句式，掌握“表”“志”“序”“辞”“传”“记”等古代散文文体的基本特征，能够借助注释和工具书准确翻译并理解文言文内容。</w:t>
            </w:r>
          </w:p>
          <w:p w14:paraId="74BC412B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现当代语言品析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在第二、三单元中，品味中国现当代作家（如鲁迅、沈从文、艾青等）和外国作家（如狄更斯、海明威等）作品的语言风格，学习不同体裁（小说、诗歌、散文、戏剧）的表达技巧，体会语言的时代性和民族性。</w:t>
            </w:r>
          </w:p>
          <w:p w14:paraId="6FF7AE8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科技语体掌握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：通过第四单元科学文化论著的研习，掌握说明文和议论文的语体特点，学习筛选信息、理清逻辑思路、概括观点的能力，提升对科学类文本的阅读与表达水平。</w:t>
            </w:r>
          </w:p>
          <w:p w14:paraId="23F6B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39C53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B21C817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300EC2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9"/>
            <w:vAlign w:val="center"/>
          </w:tcPr>
          <w:p w14:paraId="716B75AC">
            <w:pPr>
              <w:pStyle w:val="3"/>
              <w:keepNext w:val="0"/>
              <w:keepLines w:val="0"/>
              <w:widowControl/>
              <w:suppressLineNumbers w:val="0"/>
            </w:pPr>
            <w:r>
              <w:t>思维发展与提升</w:t>
            </w:r>
          </w:p>
          <w:p w14:paraId="3AF47B6C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批判性思维培养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：引导学生对文本进行深度解读，如分析《阿Q正传》中的国民性批判、《边城》中理想化人生的悲剧性，以及《种树郭橐驼传》中的讽喻逻辑，鼓励学生提出个性化见解，发展批判性思维。</w:t>
            </w:r>
          </w:p>
          <w:p w14:paraId="1A258E2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逻辑思辨能力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：在第四单元中，通过研习《自然选择的证明》《天文学上的旷世之争》等文章，学习科学论证的方法，理解基于证据和逻辑推理的重要性，培养严谨的逻辑思维习惯。</w:t>
            </w:r>
          </w:p>
          <w:p w14:paraId="3424943A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跨文化比较思维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：通过中外小说（如《大卫·科波菲尔》与《百年孤独》）的对比阅读，引导学生理解不同文化背景下的人性表达与叙事模式，拓宽国际视野，提升跨文化理解与比较分析能力。</w:t>
            </w:r>
          </w:p>
          <w:p w14:paraId="729BC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64567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72152637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585A26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9"/>
            <w:vAlign w:val="center"/>
          </w:tcPr>
          <w:p w14:paraId="2060272F">
            <w:pPr>
              <w:pStyle w:val="3"/>
              <w:keepNext w:val="0"/>
              <w:keepLines w:val="0"/>
              <w:widowControl/>
              <w:suppressLineNumbers w:val="0"/>
            </w:pPr>
            <w:r>
              <w:t>文化传承与理解</w:t>
            </w:r>
          </w:p>
          <w:p w14:paraId="2C16D080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传承中华优秀传统文化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：通过第一单元的学习，深入理解“孝”“隐逸”“天人合一”等传统观念，感悟古人的人生智慧与人格魅力，增强文化自信。</w:t>
            </w:r>
          </w:p>
          <w:p w14:paraId="4BAEC2EC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反映时代精神与社会变迁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：在第二单元中，引导学生通过《茶馆》《阿Q正传》等作品洞察百年中国社会的历史变迁与民族心理，理解文学作为“时代镜像”的功能。</w:t>
            </w:r>
          </w:p>
          <w:p w14:paraId="47BC95D4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弘扬科学精神与人文关怀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：第四单元强调科学精神（如求真务实、勇于探索）与人文关怀的结合，帮助学生树立正确的科学观和社会责任感。</w:t>
            </w:r>
          </w:p>
          <w:p w14:paraId="2F5B3C6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</w:t>
            </w:r>
            <w:r>
              <w:rPr>
                <w:rStyle w:val="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整本书阅读素养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：结合《红楼梦》或《乡土中国》的整本书阅读任务，培养学生系统阅读、深度思考和研究性学习的习惯，提升综合文化素养。</w:t>
            </w:r>
          </w:p>
          <w:p w14:paraId="7438D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2C9FF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  <w:vAlign w:val="center"/>
          </w:tcPr>
          <w:p w14:paraId="274817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1A313A2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357721E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710000E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2550ED52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0BB2B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6B497768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9"/>
            <w:shd w:val="clear" w:color="auto" w:fill="auto"/>
            <w:vAlign w:val="center"/>
          </w:tcPr>
          <w:p w14:paraId="59FC6DD7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平时表现＋作业</w:t>
            </w:r>
          </w:p>
        </w:tc>
      </w:tr>
      <w:tr w14:paraId="792B3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1CFC8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3753C0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14:paraId="7D155D35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  <w:tr w14:paraId="4230F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EB71B0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2E45D5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14:paraId="097906FE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</w:tbl>
    <w:p w14:paraId="4DF3E6BD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6D207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3A56223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59F24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411E0C2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24BCD0B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6D98BF3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4B43481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2CD26E0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57E46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5A8AD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3111A2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2" w:type="dxa"/>
            <w:vAlign w:val="center"/>
          </w:tcPr>
          <w:p w14:paraId="5E682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559" w:type="dxa"/>
            <w:vAlign w:val="center"/>
          </w:tcPr>
          <w:p w14:paraId="28C10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氓《诗经》</w:t>
            </w:r>
          </w:p>
          <w:p w14:paraId="08BD6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离骚（节选）/屈原</w:t>
            </w:r>
          </w:p>
        </w:tc>
        <w:tc>
          <w:tcPr>
            <w:tcW w:w="496" w:type="dxa"/>
            <w:vAlign w:val="center"/>
          </w:tcPr>
          <w:p w14:paraId="558388A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0CF22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FAF31E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AD0215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2" w:type="dxa"/>
            <w:vAlign w:val="center"/>
          </w:tcPr>
          <w:p w14:paraId="6CB5C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559" w:type="dxa"/>
            <w:vAlign w:val="center"/>
          </w:tcPr>
          <w:p w14:paraId="2360D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中国人民站起来了</w:t>
            </w:r>
          </w:p>
          <w:p w14:paraId="5A38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在庆祝中国成立100周年大会上的讲话</w:t>
            </w:r>
          </w:p>
        </w:tc>
        <w:tc>
          <w:tcPr>
            <w:tcW w:w="496" w:type="dxa"/>
            <w:vAlign w:val="center"/>
          </w:tcPr>
          <w:p w14:paraId="73AC5EB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CACD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C50087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79E4199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2" w:type="dxa"/>
            <w:vAlign w:val="center"/>
          </w:tcPr>
          <w:p w14:paraId="25D1D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559" w:type="dxa"/>
            <w:vAlign w:val="center"/>
          </w:tcPr>
          <w:p w14:paraId="0D31D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长征胜利万岁</w:t>
            </w:r>
          </w:p>
          <w:p w14:paraId="7E92D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百合花</w:t>
            </w:r>
          </w:p>
        </w:tc>
        <w:tc>
          <w:tcPr>
            <w:tcW w:w="496" w:type="dxa"/>
            <w:vAlign w:val="center"/>
          </w:tcPr>
          <w:p w14:paraId="471AE5C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212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D2CE03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51C57B0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2" w:type="dxa"/>
            <w:vAlign w:val="center"/>
          </w:tcPr>
          <w:p w14:paraId="1C982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</w:tc>
        <w:tc>
          <w:tcPr>
            <w:tcW w:w="3559" w:type="dxa"/>
            <w:vAlign w:val="center"/>
          </w:tcPr>
          <w:p w14:paraId="12343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国殇</w:t>
            </w:r>
          </w:p>
          <w:p w14:paraId="3D66C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烛之武退秦师</w:t>
            </w:r>
          </w:p>
        </w:tc>
        <w:tc>
          <w:tcPr>
            <w:tcW w:w="496" w:type="dxa"/>
            <w:vAlign w:val="center"/>
          </w:tcPr>
          <w:p w14:paraId="620594AC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7FD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683A7D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04C026D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2" w:type="dxa"/>
            <w:vAlign w:val="center"/>
          </w:tcPr>
          <w:p w14:paraId="1C02E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</w:tc>
        <w:tc>
          <w:tcPr>
            <w:tcW w:w="3559" w:type="dxa"/>
            <w:vAlign w:val="center"/>
          </w:tcPr>
          <w:p w14:paraId="1B7CC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廉颇蔺相如列传</w:t>
            </w:r>
          </w:p>
          <w:p w14:paraId="1665C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永遇乐.京口北固亭怀古</w:t>
            </w:r>
          </w:p>
        </w:tc>
        <w:tc>
          <w:tcPr>
            <w:tcW w:w="496" w:type="dxa"/>
            <w:vAlign w:val="center"/>
          </w:tcPr>
          <w:p w14:paraId="7EA79A2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904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1F8215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73A9A855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2" w:type="dxa"/>
            <w:vAlign w:val="center"/>
          </w:tcPr>
          <w:p w14:paraId="6A48E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</w:tc>
        <w:tc>
          <w:tcPr>
            <w:tcW w:w="3559" w:type="dxa"/>
            <w:vAlign w:val="center"/>
          </w:tcPr>
          <w:p w14:paraId="110B6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声声慢（寻寻觅觅)</w:t>
            </w:r>
          </w:p>
          <w:p w14:paraId="31C84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祝福</w:t>
            </w:r>
          </w:p>
          <w:p w14:paraId="35859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群英会蒋干中计</w:t>
            </w:r>
          </w:p>
          <w:p w14:paraId="259AD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1D83FFA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0E20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94C33E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3334A2E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2" w:type="dxa"/>
            <w:vAlign w:val="center"/>
          </w:tcPr>
          <w:p w14:paraId="2918B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  <w:p w14:paraId="2FB45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559" w:type="dxa"/>
            <w:vAlign w:val="center"/>
          </w:tcPr>
          <w:p w14:paraId="318F6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群英会蒋干中计</w:t>
            </w:r>
          </w:p>
          <w:p w14:paraId="3D667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套中人</w:t>
            </w:r>
          </w:p>
          <w:p w14:paraId="15822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雷雨（节选）</w:t>
            </w:r>
          </w:p>
          <w:p w14:paraId="1429E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项链</w:t>
            </w:r>
          </w:p>
        </w:tc>
        <w:tc>
          <w:tcPr>
            <w:tcW w:w="496" w:type="dxa"/>
            <w:vAlign w:val="center"/>
          </w:tcPr>
          <w:p w14:paraId="31A00B7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9D7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4FF7AB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661BBA3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2" w:type="dxa"/>
            <w:vAlign w:val="center"/>
          </w:tcPr>
          <w:p w14:paraId="12CCB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期中考试</w:t>
            </w:r>
          </w:p>
        </w:tc>
        <w:tc>
          <w:tcPr>
            <w:tcW w:w="3559" w:type="dxa"/>
            <w:vAlign w:val="center"/>
          </w:tcPr>
          <w:p w14:paraId="60A5E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6" w:type="dxa"/>
            <w:vAlign w:val="center"/>
          </w:tcPr>
          <w:p w14:paraId="2FD8770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F5B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8A455D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1060AFC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2" w:type="dxa"/>
            <w:vAlign w:val="center"/>
          </w:tcPr>
          <w:p w14:paraId="57C7C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</w:t>
            </w:r>
          </w:p>
        </w:tc>
        <w:tc>
          <w:tcPr>
            <w:tcW w:w="3559" w:type="dxa"/>
            <w:vAlign w:val="center"/>
          </w:tcPr>
          <w:p w14:paraId="52ADD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《乡土中国》</w:t>
            </w:r>
          </w:p>
        </w:tc>
        <w:tc>
          <w:tcPr>
            <w:tcW w:w="496" w:type="dxa"/>
            <w:vAlign w:val="center"/>
          </w:tcPr>
          <w:p w14:paraId="5D85220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FF14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A2DA73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0CCB465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2" w:type="dxa"/>
            <w:vAlign w:val="center"/>
          </w:tcPr>
          <w:p w14:paraId="0CA9A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第五单元</w:t>
            </w:r>
          </w:p>
        </w:tc>
        <w:tc>
          <w:tcPr>
            <w:tcW w:w="3559" w:type="dxa"/>
            <w:vAlign w:val="center"/>
          </w:tcPr>
          <w:p w14:paraId="33D0F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在马克思墓前的讲话</w:t>
            </w:r>
          </w:p>
          <w:p w14:paraId="5EBCE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世间最感人的坟墓</w:t>
            </w:r>
          </w:p>
          <w:p w14:paraId="3C649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30ABDC7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965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CC59FE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6A2A433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2" w:type="dxa"/>
            <w:vAlign w:val="center"/>
          </w:tcPr>
          <w:p w14:paraId="36F24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第五单元</w:t>
            </w:r>
          </w:p>
        </w:tc>
        <w:tc>
          <w:tcPr>
            <w:tcW w:w="3559" w:type="dxa"/>
            <w:vAlign w:val="center"/>
          </w:tcPr>
          <w:p w14:paraId="31D1B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飞向太空的航程</w:t>
            </w:r>
          </w:p>
          <w:p w14:paraId="5CAB7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景泰蓝的制作</w:t>
            </w:r>
          </w:p>
          <w:p w14:paraId="2D9E0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6A0658F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FB84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3BD4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88F49F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2" w:type="dxa"/>
            <w:vAlign w:val="center"/>
          </w:tcPr>
          <w:p w14:paraId="1D3CF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第五单元</w:t>
            </w:r>
          </w:p>
          <w:p w14:paraId="3535E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第六单元</w:t>
            </w:r>
          </w:p>
        </w:tc>
        <w:tc>
          <w:tcPr>
            <w:tcW w:w="3559" w:type="dxa"/>
            <w:vAlign w:val="center"/>
          </w:tcPr>
          <w:p w14:paraId="3634E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画里阴晴</w:t>
            </w:r>
          </w:p>
          <w:p w14:paraId="3253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青蒿素：人类征服疾病的一小步</w:t>
            </w:r>
          </w:p>
        </w:tc>
        <w:tc>
          <w:tcPr>
            <w:tcW w:w="496" w:type="dxa"/>
            <w:vAlign w:val="center"/>
          </w:tcPr>
          <w:p w14:paraId="6D11016C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138A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7D0120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67F02B7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2" w:type="dxa"/>
            <w:vAlign w:val="center"/>
          </w:tcPr>
          <w:p w14:paraId="7D95D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第六单元</w:t>
            </w:r>
          </w:p>
        </w:tc>
        <w:tc>
          <w:tcPr>
            <w:tcW w:w="3559" w:type="dxa"/>
            <w:vAlign w:val="center"/>
          </w:tcPr>
          <w:p w14:paraId="19FCC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青纱帐--甘蔗林</w:t>
            </w:r>
          </w:p>
          <w:p w14:paraId="7D6CA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晨昏诺日郎</w:t>
            </w:r>
          </w:p>
          <w:p w14:paraId="5A03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哦，香雪</w:t>
            </w:r>
          </w:p>
          <w:p w14:paraId="37D78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292300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DB33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F59042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320E0F8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2" w:type="dxa"/>
            <w:vAlign w:val="center"/>
          </w:tcPr>
          <w:p w14:paraId="449E5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第七单元</w:t>
            </w:r>
          </w:p>
        </w:tc>
        <w:tc>
          <w:tcPr>
            <w:tcW w:w="3559" w:type="dxa"/>
            <w:vAlign w:val="center"/>
          </w:tcPr>
          <w:p w14:paraId="03148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归园田居（其一）</w:t>
            </w:r>
          </w:p>
          <w:p w14:paraId="2D9B0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唐诗二首</w:t>
            </w:r>
          </w:p>
          <w:p w14:paraId="5CFE9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将进酒</w:t>
            </w:r>
          </w:p>
          <w:p w14:paraId="08D0F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428400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02E5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BABD2A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7FCADCB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2" w:type="dxa"/>
            <w:vAlign w:val="center"/>
          </w:tcPr>
          <w:p w14:paraId="34A70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古诗词诵读</w:t>
            </w:r>
          </w:p>
        </w:tc>
        <w:tc>
          <w:tcPr>
            <w:tcW w:w="3559" w:type="dxa"/>
            <w:vAlign w:val="center"/>
          </w:tcPr>
          <w:p w14:paraId="25E04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登高</w:t>
            </w:r>
          </w:p>
          <w:p w14:paraId="44039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赤壁赋</w:t>
            </w:r>
          </w:p>
          <w:p w14:paraId="38BE9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项脊轩志</w:t>
            </w:r>
          </w:p>
          <w:p w14:paraId="4F823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4DF3809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F366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0BE6BD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5B39F8E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2" w:type="dxa"/>
            <w:vAlign w:val="center"/>
          </w:tcPr>
          <w:p w14:paraId="70B11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第八单元</w:t>
            </w:r>
          </w:p>
        </w:tc>
        <w:tc>
          <w:tcPr>
            <w:tcW w:w="3559" w:type="dxa"/>
            <w:vAlign w:val="center"/>
          </w:tcPr>
          <w:p w14:paraId="16F7F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了解多媒介</w:t>
            </w:r>
          </w:p>
        </w:tc>
        <w:tc>
          <w:tcPr>
            <w:tcW w:w="496" w:type="dxa"/>
            <w:vAlign w:val="center"/>
          </w:tcPr>
          <w:p w14:paraId="22DD8F4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8ED8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6786AE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67FD424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2" w:type="dxa"/>
            <w:vAlign w:val="center"/>
          </w:tcPr>
          <w:p w14:paraId="4C5C6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9" w:type="dxa"/>
            <w:vAlign w:val="center"/>
          </w:tcPr>
          <w:p w14:paraId="2486E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6" w:type="dxa"/>
            <w:vAlign w:val="center"/>
          </w:tcPr>
          <w:p w14:paraId="3CF7EE7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2E53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C81DE4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46AA63E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65FEE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05163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43FB33F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8C8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86719D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70EF9D6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7E85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6F23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0BAE582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3A58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B2BF14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841D55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396E6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54A4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3B0C7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6" w:type="dxa"/>
            <w:vAlign w:val="center"/>
          </w:tcPr>
          <w:p w14:paraId="2FAF47A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</w:tbl>
    <w:p w14:paraId="3E05EF8E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f36460e6-07e2-4a28-a223-7669291fe61c"/>
  </w:docVars>
  <w:rsids>
    <w:rsidRoot w:val="004F713E"/>
    <w:rsid w:val="0010401F"/>
    <w:rsid w:val="004F713E"/>
    <w:rsid w:val="006D40A1"/>
    <w:rsid w:val="009152AC"/>
    <w:rsid w:val="00B02BB7"/>
    <w:rsid w:val="00F5669D"/>
    <w:rsid w:val="06E574B9"/>
    <w:rsid w:val="0B3A3EBE"/>
    <w:rsid w:val="13AA2B6C"/>
    <w:rsid w:val="181527C4"/>
    <w:rsid w:val="19C21C4E"/>
    <w:rsid w:val="272603F8"/>
    <w:rsid w:val="27E556B3"/>
    <w:rsid w:val="320D3168"/>
    <w:rsid w:val="369938DF"/>
    <w:rsid w:val="381231A4"/>
    <w:rsid w:val="42595B6D"/>
    <w:rsid w:val="443B5FD6"/>
    <w:rsid w:val="449325D5"/>
    <w:rsid w:val="44FC53FA"/>
    <w:rsid w:val="566B44F9"/>
    <w:rsid w:val="57F83EEA"/>
    <w:rsid w:val="586236D9"/>
    <w:rsid w:val="598C4EB2"/>
    <w:rsid w:val="5A513A05"/>
    <w:rsid w:val="5D825803"/>
    <w:rsid w:val="5EE44E48"/>
    <w:rsid w:val="64D43027"/>
    <w:rsid w:val="6FA51132"/>
    <w:rsid w:val="748E5B2A"/>
    <w:rsid w:val="76C5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3403</Words>
  <Characters>3570</Characters>
  <Lines>2</Lines>
  <Paragraphs>1</Paragraphs>
  <TotalTime>19</TotalTime>
  <ScaleCrop>false</ScaleCrop>
  <LinksUpToDate>false</LinksUpToDate>
  <CharactersWithSpaces>3583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亚楠</cp:lastModifiedBy>
  <dcterms:modified xsi:type="dcterms:W3CDTF">2026-03-19T01:20:52Z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eyJoZGlkIjoiZWE2NTdiYmYyYWU3NzRjMjE3NjNkMzAyZWU5ZmUxMzQiLCJ1c2VySWQiOiIyNDIzNTg1MDgifQ==</vt:lpwstr>
  </property>
  <property fmtid="{D5CDD505-2E9C-101B-9397-08002B2CF9AE}" pid="4" name="ICV">
    <vt:lpwstr>C99CBF99EEA94528B35E096EF14F7750_13</vt:lpwstr>
  </property>
</Properties>
</file>