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付莹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张元博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胡敬娟</w:t>
            </w: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C8CB95E">
            <w:pPr>
              <w:spacing w:line="400" w:lineRule="exact"/>
              <w:jc w:val="left"/>
              <w:rPr>
                <w:rFonts w:hint="eastAsia" w:ascii="Segoe UI Emoji" w:hAnsi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本教材以四大核心学习任务群为框架，聚焦</w:t>
            </w:r>
            <w:r>
              <w:rPr>
                <w:rFonts w:ascii="Segoe UI Emoji" w:hAnsi="Segoe UI Emoji" w:eastAsia="Segoe UI Emoji" w:cs="Segoe UI Emoji"/>
                <w:color w:val="1F2329"/>
                <w:sz w:val="24"/>
              </w:rPr>
              <w:t>“</w:t>
            </w:r>
            <w:r>
              <w:rPr>
                <w:rFonts w:hint="eastAsia" w:ascii="宋体" w:hAnsi="宋体" w:eastAsia="宋体" w:cs="宋体"/>
                <w:color w:val="1F2329"/>
                <w:sz w:val="24"/>
              </w:rPr>
              <w:t>中华传统文化经典研习</w:t>
            </w:r>
            <w:r>
              <w:rPr>
                <w:rFonts w:ascii="Segoe UI Emoji" w:hAnsi="Segoe UI Emoji" w:eastAsia="Segoe UI Emoji" w:cs="Segoe UI Emoji"/>
                <w:color w:val="1F2329"/>
                <w:sz w:val="24"/>
              </w:rPr>
              <w:t>”“</w:t>
            </w:r>
            <w:r>
              <w:rPr>
                <w:rFonts w:hint="eastAsia" w:ascii="宋体" w:hAnsi="宋体" w:eastAsia="宋体" w:cs="宋体"/>
                <w:color w:val="1F2329"/>
                <w:sz w:val="24"/>
              </w:rPr>
              <w:t>中国现当代作家作品研习</w:t>
            </w:r>
            <w:r>
              <w:rPr>
                <w:rFonts w:ascii="Segoe UI Emoji" w:hAnsi="Segoe UI Emoji" w:eastAsia="Segoe UI Emoji" w:cs="Segoe UI Emoji"/>
                <w:color w:val="1F2329"/>
                <w:sz w:val="24"/>
              </w:rPr>
              <w:t>”“</w:t>
            </w:r>
            <w:r>
              <w:rPr>
                <w:rFonts w:hint="eastAsia" w:ascii="宋体" w:hAnsi="宋体" w:eastAsia="宋体" w:cs="宋体"/>
                <w:color w:val="1F2329"/>
                <w:sz w:val="24"/>
              </w:rPr>
              <w:t>传统经典散文研读</w:t>
            </w:r>
            <w:r>
              <w:rPr>
                <w:rFonts w:ascii="Segoe UI Emoji" w:hAnsi="Segoe UI Emoji" w:eastAsia="Segoe UI Emoji" w:cs="Segoe UI Emoji"/>
                <w:color w:val="1F2329"/>
                <w:sz w:val="24"/>
              </w:rPr>
              <w:t>”“</w:t>
            </w:r>
            <w:r>
              <w:rPr>
                <w:rFonts w:hint="eastAsia" w:ascii="宋体" w:hAnsi="宋体" w:eastAsia="宋体" w:cs="宋体"/>
                <w:color w:val="1F2329"/>
                <w:sz w:val="24"/>
              </w:rPr>
              <w:t>科学文化论著研读</w:t>
            </w:r>
            <w:r>
              <w:rPr>
                <w:rFonts w:ascii="Segoe UI Emoji" w:hAnsi="Segoe UI Emoji" w:eastAsia="Segoe UI Emoji" w:cs="Segoe UI Emoji"/>
                <w:color w:val="1F2329"/>
                <w:sz w:val="24"/>
              </w:rPr>
              <w:t>”</w:t>
            </w:r>
            <w:r>
              <w:rPr>
                <w:rFonts w:hint="eastAsia" w:ascii="宋体" w:hAnsi="宋体" w:eastAsia="宋体" w:cs="宋体"/>
                <w:color w:val="1F2329"/>
                <w:sz w:val="24"/>
              </w:rPr>
              <w:t>，配套古诗词诵读与写作专项训练，实现素养提升与高考应试的深度衔接：</w:t>
            </w:r>
          </w:p>
          <w:p w14:paraId="3DB053BE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第一单元：古典诗歌源流</w:t>
            </w:r>
          </w:p>
          <w:p w14:paraId="30897EF5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收录《氓》《离骚》《蜀道难》等经典篇目，贯通《诗经》现实主义与楚辞浪漫主义传统，重点强化意象鉴赏、情感解读与背诵默写，夯实高考古诗文基础。</w:t>
            </w:r>
          </w:p>
          <w:p w14:paraId="25D85C2A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第二单元：现当代文学作品</w:t>
            </w:r>
          </w:p>
          <w:p w14:paraId="785484F5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精选《阿</w:t>
            </w:r>
            <w:r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  <w:t>Q</w:t>
            </w:r>
            <w:r>
              <w:rPr>
                <w:rFonts w:hint="eastAsia" w:ascii="宋体" w:hAnsi="宋体" w:eastAsia="宋体" w:cs="宋体"/>
                <w:color w:val="1F2329"/>
                <w:sz w:val="24"/>
              </w:rPr>
              <w:t>正传》《边城》《茶馆》等现当代文学代表作，涵盖小说、诗歌、散文、戏剧多种文体，侧重人物形象分析、主题意蕴探究与地域文化体悟，提升文学鉴赏与文本解读能力。</w:t>
            </w:r>
          </w:p>
          <w:p w14:paraId="5D7D92B4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第三单元：传统经典散文</w:t>
            </w:r>
          </w:p>
          <w:p w14:paraId="3571EC37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以《陈情表》《庄子》《项脊轩志》等文言散文为核心，夯实文言实词、虚词、特殊句式基础，兼顾文化思想解读与论述逻辑训练，提升文言文翻译与迁移运用能力。</w:t>
            </w:r>
          </w:p>
          <w:p w14:paraId="6E7FD83D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第四单元：科学文化论著</w:t>
            </w:r>
          </w:p>
          <w:p w14:paraId="39978955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选取自然科学与人文社科类论著，聚焦核心概念梳理与论证逻辑分析，培养信息筛选、思辨探究与逻辑推理能力，适配高考论述类文本阅读题型。</w:t>
            </w:r>
          </w:p>
          <w:p w14:paraId="057C4E62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写作与语言运用</w:t>
            </w:r>
          </w:p>
          <w:p w14:paraId="0C458A5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紧扣单元学习任务，强化议论文论证方法训练与逻辑谬误辨析，提升议论文写作的严谨性与说服力，全面夯实高考语文核心素养。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22BC4AA">
            <w:pPr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宋体" w:hAnsi="宋体" w:eastAsia="宋体" w:cs="宋体"/>
                <w:color w:val="1F2329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1F2329"/>
                <w:sz w:val="24"/>
                <w:lang w:val="en-US" w:eastAsia="zh-CN"/>
              </w:rPr>
              <w:t>基本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1F2329"/>
                <w:sz w:val="24"/>
              </w:rPr>
              <w:t>适应高中语文学习节奏，在基础积累、文本阅读上形成相对稳定层次，但古诗文迁移运用、现代文深度探究、议论文逻辑严谨性等综合能力仍有明显短板。优等生具备成熟的思辨与鉴赏能力，能独立完成文本解读与写作构思；中等生基础较扎实，但审题不准、逻辑松散、表达浅薄等问题突出；后进生仍存在文言基础薄弱、阅读答题不规范、作文立意偏题等问题，两极分化加剧。此阶段知识综合性大幅提升，学生普遍在知识整合、题型变通、考场时间分配上存在不足，急需针对性训练补齐短板，提升应试技巧与心理素质，为高三系统复习做好铺垫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spacing w:line="400" w:lineRule="exact"/>
              <w:rPr>
                <w:rFonts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  <w:t>知识</w:t>
            </w:r>
          </w:p>
          <w:p w14:paraId="4DE3A233">
            <w:pPr>
              <w:spacing w:line="400" w:lineRule="exact"/>
              <w:rPr>
                <w:rFonts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Segoe UI Emoji" w:hAnsi="Segoe UI Emoji" w:eastAsia="Segoe UI Emoji" w:cs="Segoe UI Emoji"/>
                <w:color w:val="1F2329"/>
                <w:sz w:val="24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15A0DD0">
            <w:pPr>
              <w:jc w:val="left"/>
              <w:rPr>
                <w:rFonts w:ascii="Segoe UI Emoji" w:hAnsi="Segoe UI Emoji" w:eastAsia="Segoe UI Emoji" w:cs="Segoe UI Emoji"/>
                <w:color w:val="1F2329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 积累文言实词、虚词、特殊句式及古代文化常识，能准确翻译《陈情表》《项脊轩志》等文言名篇，熟练背诵重点诗词。 2. 掌握诗歌意象、抒情手法、小说人物形象、戏剧矛盾冲突及科学论著的论证思路，提升文本解读与信息筛选能力。 3. 规范议论文写作，做到观点明确、逻辑清晰、论据恰当，提升语言表达与审美鉴赏能力。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CA35F2">
            <w:pPr>
              <w:jc w:val="left"/>
              <w:rPr>
                <w:rFonts w:ascii="Segoe UI Emoji" w:hAnsi="Segoe UI Emoji" w:eastAsia="宋体" w:cs="Segoe UI Emoji"/>
                <w:color w:val="1F2329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 提升古诗文迁移运用与翻译鉴赏能力，能应对高考古诗文阅读与默写题型。 2. 强化现代文深度探究能力，能精准分析文本结构、手法与主题，规范答题思路。 3. 培养议论文逻辑思辨能力，能独立完成审题立意、结构布局与语言润色，提升写作得分率。 4. 锻炼信息筛选与思辨能力，适配高考论述类文本阅读与探究题。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43A71F7">
            <w:pPr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EFF0F1"/>
              </w:rPr>
            </w:pPr>
            <w:r>
              <w:rPr>
                <w:rFonts w:hint="eastAsia" w:ascii="Times New Roman" w:hAnsi="Times New Roman"/>
                <w:sz w:val="24"/>
              </w:rPr>
              <w:t>1. 感受中华优秀传统文化魅力，增强文化自信与审美情趣。 2. 培养严谨的逻辑思维与理性思辨能力，提升人文素养。 3. 磨砺耐心细致、坚韧自律的学习品质，适应高考备考节奏。 4. 树立正确的价值观与人生观，在经典文本中汲取精神力量。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作业+课堂表现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173DAD3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56"/>
        <w:gridCol w:w="3641"/>
        <w:gridCol w:w="3532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56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4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32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6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3.9-3.15</w:t>
            </w:r>
          </w:p>
        </w:tc>
        <w:tc>
          <w:tcPr>
            <w:tcW w:w="364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</w:t>
            </w:r>
          </w:p>
        </w:tc>
        <w:tc>
          <w:tcPr>
            <w:tcW w:w="3532" w:type="dxa"/>
            <w:vAlign w:val="center"/>
          </w:tcPr>
          <w:p w14:paraId="52CD1D5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《氓》</w:t>
            </w:r>
          </w:p>
          <w:p w14:paraId="26AFA75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《离骚》（节选）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6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3.16-3.22</w:t>
            </w:r>
          </w:p>
        </w:tc>
        <w:tc>
          <w:tcPr>
            <w:tcW w:w="364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</w:t>
            </w:r>
          </w:p>
        </w:tc>
        <w:tc>
          <w:tcPr>
            <w:tcW w:w="3532" w:type="dxa"/>
            <w:vAlign w:val="center"/>
          </w:tcPr>
          <w:p w14:paraId="0033995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《孔雀东南飞》并序</w:t>
            </w:r>
          </w:p>
          <w:p w14:paraId="6756150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《蜀道难》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56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3.23-3.29</w:t>
            </w:r>
          </w:p>
        </w:tc>
        <w:tc>
          <w:tcPr>
            <w:tcW w:w="364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</w:t>
            </w:r>
          </w:p>
        </w:tc>
        <w:tc>
          <w:tcPr>
            <w:tcW w:w="3532" w:type="dxa"/>
            <w:vAlign w:val="center"/>
          </w:tcPr>
          <w:p w14:paraId="6C255C8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《蜀相》</w:t>
            </w:r>
          </w:p>
          <w:p w14:paraId="19AEA82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《望海潮》（东南形胜）</w:t>
            </w:r>
          </w:p>
          <w:p w14:paraId="141D7BF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《扬州慢》（淮左名都）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6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3.30-4.5</w:t>
            </w:r>
          </w:p>
        </w:tc>
        <w:tc>
          <w:tcPr>
            <w:tcW w:w="364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</w:tc>
        <w:tc>
          <w:tcPr>
            <w:tcW w:w="3532" w:type="dxa"/>
            <w:vAlign w:val="center"/>
          </w:tcPr>
          <w:p w14:paraId="0C8EEB7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《阿Q正传》（节选）</w:t>
            </w:r>
          </w:p>
          <w:p w14:paraId="385E79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《边城》（节选）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56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4.6-4.12</w:t>
            </w:r>
          </w:p>
        </w:tc>
        <w:tc>
          <w:tcPr>
            <w:tcW w:w="3641" w:type="dxa"/>
            <w:vAlign w:val="center"/>
          </w:tcPr>
          <w:p w14:paraId="22075E2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  <w:p w14:paraId="17BA7E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3532" w:type="dxa"/>
            <w:vAlign w:val="center"/>
          </w:tcPr>
          <w:p w14:paraId="33FB9E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《大堰河——我的保姆》</w:t>
            </w:r>
          </w:p>
          <w:p w14:paraId="6E6081C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《再别康桥》</w:t>
            </w:r>
          </w:p>
          <w:p w14:paraId="2CA5E6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6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4.13-4.19</w:t>
            </w:r>
          </w:p>
        </w:tc>
        <w:tc>
          <w:tcPr>
            <w:tcW w:w="3641" w:type="dxa"/>
            <w:vAlign w:val="center"/>
          </w:tcPr>
          <w:p w14:paraId="5F03D6D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</w:tc>
        <w:tc>
          <w:tcPr>
            <w:tcW w:w="3532" w:type="dxa"/>
            <w:vAlign w:val="center"/>
          </w:tcPr>
          <w:p w14:paraId="2FBE1B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《一个消逝了的山村》</w:t>
            </w:r>
          </w:p>
          <w:p w14:paraId="7C48ACE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《秦腔》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56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4.20-4.26</w:t>
            </w:r>
          </w:p>
        </w:tc>
        <w:tc>
          <w:tcPr>
            <w:tcW w:w="3641" w:type="dxa"/>
            <w:vAlign w:val="center"/>
          </w:tcPr>
          <w:p w14:paraId="2E9BA47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  <w:p w14:paraId="01B3A4C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2E13CA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《茶馆》（节选）</w:t>
            </w:r>
          </w:p>
          <w:p w14:paraId="5A0F5C4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《陈情表》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56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4.27-5.3</w:t>
            </w:r>
          </w:p>
        </w:tc>
        <w:tc>
          <w:tcPr>
            <w:tcW w:w="3641" w:type="dxa"/>
            <w:vAlign w:val="center"/>
          </w:tcPr>
          <w:p w14:paraId="1DFAE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3532" w:type="dxa"/>
            <w:vAlign w:val="center"/>
          </w:tcPr>
          <w:p w14:paraId="07787BC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56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5.4-5.10</w:t>
            </w:r>
          </w:p>
        </w:tc>
        <w:tc>
          <w:tcPr>
            <w:tcW w:w="364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214CFFD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《项脊轩志》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56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5.11-5.17</w:t>
            </w:r>
          </w:p>
        </w:tc>
        <w:tc>
          <w:tcPr>
            <w:tcW w:w="3641" w:type="dxa"/>
            <w:vAlign w:val="center"/>
          </w:tcPr>
          <w:p w14:paraId="5E9A68BA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《兰亭集序》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56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5.18-5.24</w:t>
            </w:r>
          </w:p>
        </w:tc>
        <w:tc>
          <w:tcPr>
            <w:tcW w:w="3641" w:type="dxa"/>
            <w:vAlign w:val="center"/>
          </w:tcPr>
          <w:p w14:paraId="0294BA5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《归去来兮辞》并序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6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5.25-5.31</w:t>
            </w:r>
          </w:p>
        </w:tc>
        <w:tc>
          <w:tcPr>
            <w:tcW w:w="364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《种树郭橐驼传》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56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6.1-6.7</w:t>
            </w:r>
          </w:p>
        </w:tc>
        <w:tc>
          <w:tcPr>
            <w:tcW w:w="364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2147C97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《石钟山记》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56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6.8-6.14</w:t>
            </w:r>
          </w:p>
        </w:tc>
        <w:tc>
          <w:tcPr>
            <w:tcW w:w="3641" w:type="dxa"/>
            <w:vAlign w:val="center"/>
          </w:tcPr>
          <w:p w14:paraId="4E28573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</w:t>
            </w:r>
          </w:p>
        </w:tc>
        <w:tc>
          <w:tcPr>
            <w:tcW w:w="3532" w:type="dxa"/>
            <w:vAlign w:val="center"/>
          </w:tcPr>
          <w:p w14:paraId="554CD50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《自然选择的证明》</w:t>
            </w:r>
          </w:p>
          <w:p w14:paraId="019562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56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6.15-6.21</w:t>
            </w:r>
          </w:p>
        </w:tc>
        <w:tc>
          <w:tcPr>
            <w:tcW w:w="364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</w:t>
            </w:r>
          </w:p>
        </w:tc>
        <w:tc>
          <w:tcPr>
            <w:tcW w:w="3532" w:type="dxa"/>
            <w:vAlign w:val="center"/>
          </w:tcPr>
          <w:p w14:paraId="25F4EEC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《宇宙的边疆》</w:t>
            </w:r>
          </w:p>
          <w:p w14:paraId="0EADF04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《天文学上的旷世之争》</w:t>
            </w:r>
          </w:p>
          <w:p w14:paraId="73A1A63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56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6.22-6.28</w:t>
            </w:r>
          </w:p>
        </w:tc>
        <w:tc>
          <w:tcPr>
            <w:tcW w:w="3641" w:type="dxa"/>
            <w:vAlign w:val="center"/>
          </w:tcPr>
          <w:p w14:paraId="5553E8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古诗词诵读</w:t>
            </w:r>
          </w:p>
        </w:tc>
        <w:tc>
          <w:tcPr>
            <w:tcW w:w="3532" w:type="dxa"/>
            <w:vAlign w:val="center"/>
          </w:tcPr>
          <w:p w14:paraId="2D8E05B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《拟行路难》（其四）</w:t>
            </w:r>
          </w:p>
          <w:p w14:paraId="7284444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《客至》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56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6.29-7.5</w:t>
            </w:r>
          </w:p>
        </w:tc>
        <w:tc>
          <w:tcPr>
            <w:tcW w:w="364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古诗词诵读</w:t>
            </w:r>
          </w:p>
        </w:tc>
        <w:tc>
          <w:tcPr>
            <w:tcW w:w="3532" w:type="dxa"/>
            <w:vAlign w:val="center"/>
          </w:tcPr>
          <w:p w14:paraId="255505E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《登快阁》</w:t>
            </w:r>
          </w:p>
          <w:p w14:paraId="0B1ADAE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《临安春雨初霁》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56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7.6-7.12</w:t>
            </w:r>
          </w:p>
        </w:tc>
        <w:tc>
          <w:tcPr>
            <w:tcW w:w="3641" w:type="dxa"/>
            <w:vAlign w:val="center"/>
          </w:tcPr>
          <w:p w14:paraId="628070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3532" w:type="dxa"/>
            <w:vAlign w:val="center"/>
          </w:tcPr>
          <w:p w14:paraId="53652A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</w:tbl>
    <w:p w14:paraId="58050D1D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0401F"/>
    <w:rsid w:val="00172A27"/>
    <w:rsid w:val="004F713E"/>
    <w:rsid w:val="005B1E69"/>
    <w:rsid w:val="006D40A1"/>
    <w:rsid w:val="00705E0A"/>
    <w:rsid w:val="009152AC"/>
    <w:rsid w:val="00973C43"/>
    <w:rsid w:val="00AE66AD"/>
    <w:rsid w:val="00B02BB7"/>
    <w:rsid w:val="00E7094E"/>
    <w:rsid w:val="00F5669D"/>
    <w:rsid w:val="09237062"/>
    <w:rsid w:val="0D311B7C"/>
    <w:rsid w:val="10127796"/>
    <w:rsid w:val="27685ED9"/>
    <w:rsid w:val="2E8C0CED"/>
    <w:rsid w:val="38F73D85"/>
    <w:rsid w:val="39995AAB"/>
    <w:rsid w:val="449325D5"/>
    <w:rsid w:val="55AC363C"/>
    <w:rsid w:val="5D243A8D"/>
    <w:rsid w:val="6CE22B21"/>
    <w:rsid w:val="6DFA05B8"/>
    <w:rsid w:val="6E3E5EDA"/>
    <w:rsid w:val="6FA51132"/>
    <w:rsid w:val="74413AE2"/>
    <w:rsid w:val="79B87657"/>
    <w:rsid w:val="7BD2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1641</Words>
  <Characters>1814</Characters>
  <Lines>154</Lines>
  <Paragraphs>205</Paragraphs>
  <TotalTime>8</TotalTime>
  <ScaleCrop>false</ScaleCrop>
  <LinksUpToDate>false</LinksUpToDate>
  <CharactersWithSpaces>1833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2026-03-19T02:34:00Z</dcterms:created>
  <dc:creator>dell</dc:creator>
  <cp:lastModifiedBy>墨梓的涵霏</cp:lastModifiedBy>
  <dcterms:modified xsi:type="dcterms:W3CDTF">2026-03-19T04:17:23Z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eyJoZGlkIjoiMGZjMTg4MTI1ZjE5NjU3OGJjNThmZjg2NDliMzI4MjgiLCJ1c2VySWQiOiI1OTQwNTUxMzcifQ==</vt:lpwstr>
  </property>
  <property fmtid="{D5CDD505-2E9C-101B-9397-08002B2CF9AE}" pid="4" name="ICV">
    <vt:lpwstr>552C6B028A5344A69895D27861C32DEE_13</vt:lpwstr>
  </property>
</Properties>
</file>