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20EC2A">
      <w:pPr>
        <w:jc w:val="center"/>
        <w:rPr>
          <w:rFonts w:ascii="Times New Roman" w:hAnsi="Times New Roman"/>
          <w:b/>
          <w:bCs/>
          <w:sz w:val="44"/>
          <w:szCs w:val="44"/>
        </w:rPr>
      </w:pPr>
      <w:r>
        <w:rPr>
          <w:rFonts w:hint="eastAsia" w:ascii="Times New Roman" w:hAnsi="Times New Roman"/>
          <w:b/>
          <w:bCs/>
          <w:sz w:val="44"/>
          <w:szCs w:val="44"/>
        </w:rPr>
        <w:t>临沂艺术学校</w:t>
      </w:r>
    </w:p>
    <w:p w14:paraId="379D3661">
      <w:pPr>
        <w:jc w:val="center"/>
        <w:rPr>
          <w:rFonts w:ascii="Times New Roman" w:hAnsi="Times New Roman"/>
          <w:b/>
          <w:bCs/>
          <w:sz w:val="44"/>
          <w:szCs w:val="44"/>
        </w:rPr>
      </w:pPr>
      <w:r>
        <w:rPr>
          <w:rFonts w:hint="eastAsia" w:ascii="Times New Roman" w:hAnsi="Times New Roman"/>
          <w:b/>
          <w:bCs/>
          <w:sz w:val="44"/>
          <w:szCs w:val="44"/>
        </w:rPr>
        <w:t>202</w:t>
      </w:r>
      <w:r>
        <w:rPr>
          <w:rFonts w:hint="eastAsia" w:ascii="Times New Roman" w:hAnsi="Times New Roman"/>
          <w:b/>
          <w:bCs/>
          <w:sz w:val="44"/>
          <w:szCs w:val="44"/>
          <w:lang w:val="en-US" w:eastAsia="zh-CN"/>
        </w:rPr>
        <w:t>5</w:t>
      </w:r>
      <w:r>
        <w:rPr>
          <w:rFonts w:hint="eastAsia" w:ascii="Times New Roman" w:hAnsi="Times New Roman"/>
          <w:b/>
          <w:bCs/>
          <w:sz w:val="44"/>
          <w:szCs w:val="44"/>
        </w:rPr>
        <w:t>-202</w:t>
      </w:r>
      <w:r>
        <w:rPr>
          <w:rFonts w:hint="eastAsia" w:ascii="Times New Roman" w:hAnsi="Times New Roman"/>
          <w:b/>
          <w:bCs/>
          <w:sz w:val="44"/>
          <w:szCs w:val="44"/>
          <w:lang w:val="en-US" w:eastAsia="zh-CN"/>
        </w:rPr>
        <w:t>6</w:t>
      </w:r>
      <w:r>
        <w:rPr>
          <w:rFonts w:hint="eastAsia" w:ascii="Times New Roman" w:hAnsi="Times New Roman"/>
          <w:b/>
          <w:bCs/>
          <w:sz w:val="44"/>
          <w:szCs w:val="44"/>
        </w:rPr>
        <w:t>学年第二学期课程教学计划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5"/>
        <w:gridCol w:w="993"/>
        <w:gridCol w:w="142"/>
        <w:gridCol w:w="656"/>
        <w:gridCol w:w="620"/>
        <w:gridCol w:w="1045"/>
        <w:gridCol w:w="1506"/>
        <w:gridCol w:w="153"/>
        <w:gridCol w:w="832"/>
        <w:gridCol w:w="827"/>
        <w:gridCol w:w="740"/>
        <w:gridCol w:w="923"/>
      </w:tblGrid>
      <w:tr w14:paraId="101E25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39F31AA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课程名称</w:t>
            </w:r>
          </w:p>
        </w:tc>
        <w:tc>
          <w:tcPr>
            <w:tcW w:w="3456" w:type="dxa"/>
            <w:gridSpan w:val="5"/>
            <w:vAlign w:val="center"/>
          </w:tcPr>
          <w:p w14:paraId="3E51FEBD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数学</w:t>
            </w:r>
          </w:p>
        </w:tc>
        <w:tc>
          <w:tcPr>
            <w:tcW w:w="1506" w:type="dxa"/>
            <w:vAlign w:val="center"/>
          </w:tcPr>
          <w:p w14:paraId="6AA6677C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课程类型</w:t>
            </w:r>
          </w:p>
        </w:tc>
        <w:tc>
          <w:tcPr>
            <w:tcW w:w="3475" w:type="dxa"/>
            <w:gridSpan w:val="5"/>
            <w:vAlign w:val="center"/>
          </w:tcPr>
          <w:p w14:paraId="20F2F699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hint="eastAsia" w:ascii="Times New Roman" w:hAnsi="Times New Roman"/>
                <w:sz w:val="28"/>
                <w:szCs w:val="28"/>
                <w:lang w:eastAsia="zh-CN"/>
              </w:rPr>
              <w:t>☑</w:t>
            </w:r>
            <w:r>
              <w:rPr>
                <w:rFonts w:hint="eastAsia" w:ascii="Times New Roman" w:hAnsi="Times New Roman"/>
                <w:sz w:val="28"/>
                <w:szCs w:val="28"/>
              </w:rPr>
              <w:t>理论课□实践课</w:t>
            </w:r>
          </w:p>
          <w:p w14:paraId="0CDCDD30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□理论+实践</w:t>
            </w:r>
          </w:p>
        </w:tc>
      </w:tr>
      <w:tr w14:paraId="1CEFA6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6F8F6A4A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授课教师</w:t>
            </w:r>
          </w:p>
        </w:tc>
        <w:tc>
          <w:tcPr>
            <w:tcW w:w="3456" w:type="dxa"/>
            <w:gridSpan w:val="5"/>
            <w:vAlign w:val="center"/>
          </w:tcPr>
          <w:p w14:paraId="6BED9DF4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李文婷</w:t>
            </w:r>
          </w:p>
        </w:tc>
        <w:tc>
          <w:tcPr>
            <w:tcW w:w="1506" w:type="dxa"/>
            <w:vAlign w:val="center"/>
          </w:tcPr>
          <w:p w14:paraId="15D18A4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授课对象</w:t>
            </w:r>
          </w:p>
        </w:tc>
        <w:tc>
          <w:tcPr>
            <w:tcW w:w="3475" w:type="dxa"/>
            <w:gridSpan w:val="5"/>
            <w:vAlign w:val="center"/>
          </w:tcPr>
          <w:p w14:paraId="22B1E01E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23级绘画2.3.4.7班</w:t>
            </w:r>
          </w:p>
        </w:tc>
      </w:tr>
      <w:tr w14:paraId="54F3B4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30C33C89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总学时</w:t>
            </w:r>
          </w:p>
        </w:tc>
        <w:tc>
          <w:tcPr>
            <w:tcW w:w="1135" w:type="dxa"/>
            <w:gridSpan w:val="2"/>
            <w:vAlign w:val="center"/>
          </w:tcPr>
          <w:p w14:paraId="7D9E25A5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48</w:t>
            </w:r>
          </w:p>
        </w:tc>
        <w:tc>
          <w:tcPr>
            <w:tcW w:w="1276" w:type="dxa"/>
            <w:gridSpan w:val="2"/>
            <w:vAlign w:val="center"/>
          </w:tcPr>
          <w:p w14:paraId="4CF6237E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周学时</w:t>
            </w:r>
          </w:p>
        </w:tc>
        <w:tc>
          <w:tcPr>
            <w:tcW w:w="1045" w:type="dxa"/>
            <w:vAlign w:val="center"/>
          </w:tcPr>
          <w:p w14:paraId="19BC7CCE">
            <w:pPr>
              <w:spacing w:line="36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</w:t>
            </w:r>
          </w:p>
        </w:tc>
        <w:tc>
          <w:tcPr>
            <w:tcW w:w="1506" w:type="dxa"/>
            <w:vAlign w:val="center"/>
          </w:tcPr>
          <w:p w14:paraId="2F31EE71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理论</w:t>
            </w:r>
          </w:p>
          <w:p w14:paraId="6574DF02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  <w:tc>
          <w:tcPr>
            <w:tcW w:w="985" w:type="dxa"/>
            <w:gridSpan w:val="2"/>
            <w:vAlign w:val="center"/>
          </w:tcPr>
          <w:p w14:paraId="215D68FE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48</w:t>
            </w:r>
          </w:p>
        </w:tc>
        <w:tc>
          <w:tcPr>
            <w:tcW w:w="1567" w:type="dxa"/>
            <w:gridSpan w:val="2"/>
            <w:vAlign w:val="center"/>
          </w:tcPr>
          <w:p w14:paraId="5B785B12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实训</w:t>
            </w:r>
          </w:p>
          <w:p w14:paraId="39B29CC6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  <w:tc>
          <w:tcPr>
            <w:tcW w:w="923" w:type="dxa"/>
            <w:vAlign w:val="center"/>
          </w:tcPr>
          <w:p w14:paraId="6F0CB11E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7838BC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2C1EA864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教研组</w:t>
            </w:r>
          </w:p>
          <w:p w14:paraId="78B75F24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791" w:type="dxa"/>
            <w:gridSpan w:val="3"/>
            <w:vAlign w:val="center"/>
          </w:tcPr>
          <w:p w14:paraId="2DC9E955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5" w:type="dxa"/>
            <w:gridSpan w:val="2"/>
            <w:vAlign w:val="center"/>
          </w:tcPr>
          <w:p w14:paraId="68C38934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教学部</w:t>
            </w:r>
          </w:p>
          <w:p w14:paraId="36092218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659" w:type="dxa"/>
            <w:gridSpan w:val="2"/>
            <w:vAlign w:val="center"/>
          </w:tcPr>
          <w:p w14:paraId="176DBFBF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59" w:type="dxa"/>
            <w:gridSpan w:val="2"/>
            <w:vAlign w:val="center"/>
          </w:tcPr>
          <w:p w14:paraId="1CA34736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教务科</w:t>
            </w:r>
          </w:p>
          <w:p w14:paraId="6861D1BC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663" w:type="dxa"/>
            <w:gridSpan w:val="2"/>
            <w:vAlign w:val="center"/>
          </w:tcPr>
          <w:p w14:paraId="5A3D2EC9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56E203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13" w:hRule="atLeast"/>
        </w:trPr>
        <w:tc>
          <w:tcPr>
            <w:tcW w:w="1525" w:type="dxa"/>
            <w:vAlign w:val="center"/>
          </w:tcPr>
          <w:p w14:paraId="333CE1F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</w:t>
            </w:r>
          </w:p>
          <w:p w14:paraId="72BE27BE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4912392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内</w:t>
            </w:r>
          </w:p>
          <w:p w14:paraId="3398A89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容</w:t>
            </w:r>
          </w:p>
        </w:tc>
        <w:tc>
          <w:tcPr>
            <w:tcW w:w="8437" w:type="dxa"/>
            <w:gridSpan w:val="11"/>
            <w:shd w:val="clear" w:color="auto" w:fill="auto"/>
            <w:vAlign w:val="center"/>
          </w:tcPr>
          <w:p w14:paraId="083C7B07">
            <w:pPr>
              <w:spacing w:line="400" w:lineRule="exact"/>
              <w:jc w:val="left"/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 xml:space="preserve">第八章：平面解析几何     第九章：立体几何      </w:t>
            </w:r>
          </w:p>
          <w:p w14:paraId="6B32EF5A">
            <w:pPr>
              <w:spacing w:line="400" w:lineRule="exact"/>
              <w:jc w:val="left"/>
              <w:rPr>
                <w:rFonts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第十章：概率与统计初步   第十一章：复数</w:t>
            </w:r>
          </w:p>
        </w:tc>
      </w:tr>
      <w:tr w14:paraId="528BE6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6" w:hRule="atLeast"/>
        </w:trPr>
        <w:tc>
          <w:tcPr>
            <w:tcW w:w="1525" w:type="dxa"/>
            <w:vAlign w:val="center"/>
          </w:tcPr>
          <w:p w14:paraId="4BB4E4F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3F8B69C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情</w:t>
            </w:r>
          </w:p>
          <w:p w14:paraId="6068023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分</w:t>
            </w:r>
          </w:p>
          <w:p w14:paraId="53C4BD83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析</w:t>
            </w:r>
          </w:p>
        </w:tc>
        <w:tc>
          <w:tcPr>
            <w:tcW w:w="8437" w:type="dxa"/>
            <w:gridSpan w:val="11"/>
            <w:shd w:val="clear" w:color="auto" w:fill="auto"/>
            <w:vAlign w:val="center"/>
          </w:tcPr>
          <w:p w14:paraId="3DA7343D">
            <w:pPr>
              <w:spacing w:line="400" w:lineRule="exact"/>
              <w:jc w:val="center"/>
              <w:rPr>
                <w:rFonts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高三学生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上学期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已完成高中数学大部分知识的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复习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，但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还是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存在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某些问题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。一方面，部分基础扎实的学生具备一定的知识整合与解题能力，能应对常规难度的题目，但在复杂综合题的思路构建、创新题型的突破上仍有不足，且对数学知识的实际应用意识较弱。另一方面，基础薄弱的学生在函数、立体几何、解析几何等核心知识模块存在较多漏洞，对基本概念、公式、定理的理解不透彻，解题时常常因思路不清晰、计算失误等问题丢分，学习自信心不足，缺乏系统的知识梳理和有效的学习方法。此外，多数学生在高三面临高考压力，容易出现焦虑情绪，学习状态不稳定，需教师在教学过程中兼顾知识教学与心理疏导。</w:t>
            </w:r>
          </w:p>
        </w:tc>
      </w:tr>
      <w:tr w14:paraId="24D3F6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2" w:hRule="atLeast"/>
        </w:trPr>
        <w:tc>
          <w:tcPr>
            <w:tcW w:w="1525" w:type="dxa"/>
            <w:vMerge w:val="restart"/>
            <w:vAlign w:val="center"/>
          </w:tcPr>
          <w:p w14:paraId="42BBF41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</w:t>
            </w:r>
          </w:p>
          <w:p w14:paraId="350F34E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5FE029E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</w:t>
            </w:r>
          </w:p>
          <w:p w14:paraId="379AEF8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标</w:t>
            </w:r>
          </w:p>
        </w:tc>
        <w:tc>
          <w:tcPr>
            <w:tcW w:w="993" w:type="dxa"/>
            <w:vAlign w:val="center"/>
          </w:tcPr>
          <w:p w14:paraId="4A57D0A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知识</w:t>
            </w:r>
          </w:p>
          <w:p w14:paraId="4DE3A23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目标</w:t>
            </w:r>
          </w:p>
        </w:tc>
        <w:tc>
          <w:tcPr>
            <w:tcW w:w="7444" w:type="dxa"/>
            <w:gridSpan w:val="10"/>
            <w:shd w:val="clear" w:color="auto" w:fill="auto"/>
            <w:vAlign w:val="center"/>
          </w:tcPr>
          <w:p w14:paraId="32AD3F0E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学生能够准确理解和掌握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春考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数学的所有基本概念、公式、定理和法则，明确各知识点之间的内在联系，构建完整、系统的数学知识体系。</w:t>
            </w:r>
          </w:p>
          <w:p w14:paraId="78A48E96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熟练掌握各知识模块的基本题型和解题方法，能准确、快速地解决基础题和中档题，对于难题也能找到解题思路，具备一定的解题技巧。</w:t>
            </w:r>
          </w:p>
          <w:p w14:paraId="338607EE">
            <w:pPr>
              <w:spacing w:line="400" w:lineRule="exact"/>
              <w:jc w:val="left"/>
              <w:rPr>
                <w:rFonts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了解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春考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数学的命题规律和考查重点，熟悉常见题型的特点和解题策略，能准确把握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春考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对知识的考查要求。</w:t>
            </w:r>
          </w:p>
        </w:tc>
      </w:tr>
      <w:tr w14:paraId="685069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2" w:hRule="atLeast"/>
        </w:trPr>
        <w:tc>
          <w:tcPr>
            <w:tcW w:w="1525" w:type="dxa"/>
            <w:vMerge w:val="continue"/>
            <w:vAlign w:val="center"/>
          </w:tcPr>
          <w:p w14:paraId="4619BF6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5F33B8F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能力</w:t>
            </w:r>
          </w:p>
          <w:p w14:paraId="64CFFDF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目标</w:t>
            </w:r>
          </w:p>
        </w:tc>
        <w:tc>
          <w:tcPr>
            <w:tcW w:w="7444" w:type="dxa"/>
            <w:gridSpan w:val="10"/>
            <w:shd w:val="clear" w:color="auto" w:fill="auto"/>
            <w:vAlign w:val="center"/>
          </w:tcPr>
          <w:p w14:paraId="1A4F1E77">
            <w:pPr>
              <w:spacing w:line="400" w:lineRule="exact"/>
              <w:jc w:val="left"/>
              <w:rPr>
                <w:rFonts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学生能够根据题目条件，选择合理的运算方法，准确、快速地进行运算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。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能够运用数学的概念、公式、定理进行严谨的逻辑推理，无论是证明题还是计算题，都能做到思路清晰、推理过程规范，具备一定的演绎推理和归纳推理能力。对于立体几何问题，能够根据题目描述想象出空间几何体的结构特征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。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能够从具体的数学问题中抽象出数学模型，概括出数学规律和方法，将实际问题转化为数学问题进行解决，具备一定的数学建模能力。面对复杂的数学问题，能够对问题进行分析，分解问题的各个部分，找到解决问题的关键，选择合适的解题方法，最终解决问题，同时具备举一反三、灵活运用知识的能力。</w:t>
            </w:r>
          </w:p>
        </w:tc>
      </w:tr>
      <w:tr w14:paraId="502C9E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2" w:hRule="atLeast"/>
        </w:trPr>
        <w:tc>
          <w:tcPr>
            <w:tcW w:w="1525" w:type="dxa"/>
            <w:vMerge w:val="continue"/>
            <w:vAlign w:val="center"/>
          </w:tcPr>
          <w:p w14:paraId="57EC734B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22494E9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素质</w:t>
            </w:r>
          </w:p>
          <w:p w14:paraId="250FEB9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目标</w:t>
            </w:r>
          </w:p>
        </w:tc>
        <w:tc>
          <w:tcPr>
            <w:tcW w:w="7444" w:type="dxa"/>
            <w:gridSpan w:val="10"/>
            <w:shd w:val="clear" w:color="auto" w:fill="auto"/>
            <w:vAlign w:val="center"/>
          </w:tcPr>
          <w:p w14:paraId="6ECD2C62">
            <w:pPr>
              <w:spacing w:line="400" w:lineRule="exact"/>
              <w:jc w:val="left"/>
              <w:rPr>
                <w:rFonts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培养良好的数学学习习惯：让学生养成课前预习、课上认真听讲、课后及时复习、独立完成作业、整理错题本的良好学习习惯，提高学习效率。提升数学素养：通过数学知识的学习和解题训练，让学生感受数学的严谨性、逻辑性和实用性，培养学生的数学思维方式，提升学生的数学文化素养。树立正确的考试观和价值观：引导学生正确看待高考，减轻考试焦虑，以平和的心态面对考试；通过数学学习，培养学生的严谨、求实、诚信的品质，树立正确的价值观。</w:t>
            </w:r>
          </w:p>
        </w:tc>
      </w:tr>
      <w:tr w14:paraId="0C340C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Merge w:val="restart"/>
            <w:vAlign w:val="center"/>
          </w:tcPr>
          <w:p w14:paraId="2CF96FE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考</w:t>
            </w:r>
          </w:p>
          <w:p w14:paraId="7BE11FA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核</w:t>
            </w:r>
          </w:p>
          <w:p w14:paraId="59F39E3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方</w:t>
            </w:r>
          </w:p>
          <w:p w14:paraId="63C9CAC7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式</w:t>
            </w:r>
          </w:p>
        </w:tc>
        <w:tc>
          <w:tcPr>
            <w:tcW w:w="993" w:type="dxa"/>
            <w:vAlign w:val="center"/>
          </w:tcPr>
          <w:p w14:paraId="01A21C5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平时</w:t>
            </w:r>
          </w:p>
          <w:p w14:paraId="4F752390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  <w:lang w:val="en-US" w:eastAsia="zh-CN"/>
              </w:rPr>
              <w:t>40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%</w:t>
            </w:r>
          </w:p>
        </w:tc>
        <w:tc>
          <w:tcPr>
            <w:tcW w:w="7444" w:type="dxa"/>
            <w:gridSpan w:val="10"/>
            <w:shd w:val="clear" w:color="auto" w:fill="auto"/>
            <w:vAlign w:val="center"/>
          </w:tcPr>
          <w:p w14:paraId="5BE21B09">
            <w:pPr>
              <w:spacing w:line="400" w:lineRule="exact"/>
              <w:jc w:val="left"/>
              <w:rPr>
                <w:rFonts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根据学生课上的出勤情况、听课专注度、回答问题的积极性和准确性、参与课堂讨论和探究活动的表现后作业、专题训练、复习笔记等的完成质量、及时性和准确性进行综合评价。</w:t>
            </w:r>
          </w:p>
        </w:tc>
      </w:tr>
      <w:tr w14:paraId="044C53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Merge w:val="continue"/>
            <w:vAlign w:val="center"/>
          </w:tcPr>
          <w:p w14:paraId="34D84F5B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69692482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期中2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0%</w:t>
            </w:r>
          </w:p>
        </w:tc>
        <w:tc>
          <w:tcPr>
            <w:tcW w:w="7444" w:type="dxa"/>
            <w:gridSpan w:val="10"/>
            <w:shd w:val="clear" w:color="auto" w:fill="auto"/>
            <w:vAlign w:val="center"/>
          </w:tcPr>
          <w:p w14:paraId="01AA7B64">
            <w:pPr>
              <w:spacing w:line="400" w:lineRule="exact"/>
              <w:jc w:val="left"/>
              <w:rPr>
                <w:rFonts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期中考试成绩</w:t>
            </w:r>
          </w:p>
        </w:tc>
      </w:tr>
      <w:tr w14:paraId="45B1CD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Merge w:val="continue"/>
            <w:vAlign w:val="center"/>
          </w:tcPr>
          <w:p w14:paraId="1ADA2BCD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3ECF25A0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期末</w:t>
            </w:r>
            <w:r>
              <w:rPr>
                <w:rFonts w:hint="eastAsia" w:ascii="Times New Roman" w:hAnsi="Times New Roman"/>
                <w:b/>
                <w:bCs/>
                <w:sz w:val="28"/>
                <w:szCs w:val="28"/>
                <w:lang w:val="en-US" w:eastAsia="zh-CN"/>
              </w:rPr>
              <w:t>40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%</w:t>
            </w:r>
          </w:p>
        </w:tc>
        <w:tc>
          <w:tcPr>
            <w:tcW w:w="7444" w:type="dxa"/>
            <w:gridSpan w:val="10"/>
            <w:shd w:val="clear" w:color="auto" w:fill="auto"/>
            <w:vAlign w:val="center"/>
          </w:tcPr>
          <w:p w14:paraId="2BE32FE9">
            <w:pPr>
              <w:spacing w:line="400" w:lineRule="exact"/>
              <w:jc w:val="left"/>
              <w:rPr>
                <w:rFonts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期末考试成绩</w:t>
            </w:r>
          </w:p>
        </w:tc>
      </w:tr>
    </w:tbl>
    <w:p w14:paraId="74FEF45B">
      <w:pPr>
        <w:rPr>
          <w:rFonts w:ascii="Times New Roman" w:hAnsi="Times New Roman"/>
          <w:sz w:val="32"/>
          <w:szCs w:val="32"/>
        </w:rPr>
      </w:pP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5"/>
        <w:gridCol w:w="1700"/>
        <w:gridCol w:w="3671"/>
        <w:gridCol w:w="3558"/>
        <w:gridCol w:w="498"/>
      </w:tblGrid>
      <w:tr w14:paraId="56C1EB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9962" w:type="dxa"/>
            <w:gridSpan w:val="5"/>
            <w:vAlign w:val="center"/>
          </w:tcPr>
          <w:p w14:paraId="1161248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教学内容及进度安排</w:t>
            </w:r>
          </w:p>
        </w:tc>
      </w:tr>
      <w:tr w14:paraId="702818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35" w:type="dxa"/>
            <w:vAlign w:val="center"/>
          </w:tcPr>
          <w:p w14:paraId="6873DB9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周次</w:t>
            </w:r>
          </w:p>
        </w:tc>
        <w:tc>
          <w:tcPr>
            <w:tcW w:w="1700" w:type="dxa"/>
            <w:vAlign w:val="center"/>
          </w:tcPr>
          <w:p w14:paraId="3FBC577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时间</w:t>
            </w:r>
          </w:p>
        </w:tc>
        <w:tc>
          <w:tcPr>
            <w:tcW w:w="3671" w:type="dxa"/>
            <w:vAlign w:val="center"/>
          </w:tcPr>
          <w:p w14:paraId="37747D1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课题名称/任务名称</w:t>
            </w:r>
          </w:p>
        </w:tc>
        <w:tc>
          <w:tcPr>
            <w:tcW w:w="3558" w:type="dxa"/>
            <w:vAlign w:val="center"/>
          </w:tcPr>
          <w:p w14:paraId="0AEFEE2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授课内容</w:t>
            </w:r>
          </w:p>
        </w:tc>
        <w:tc>
          <w:tcPr>
            <w:tcW w:w="498" w:type="dxa"/>
            <w:vAlign w:val="center"/>
          </w:tcPr>
          <w:p w14:paraId="318FAE8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</w:tr>
      <w:tr w14:paraId="6FDA1F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4D2EEF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1CADBAF5">
            <w:pPr>
              <w:jc w:val="center"/>
              <w:rPr>
                <w:rFonts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3.9-3.15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4FEA0D30">
            <w:pPr>
              <w:spacing w:line="400" w:lineRule="exact"/>
              <w:jc w:val="center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未开课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6108CF84">
            <w:pPr>
              <w:spacing w:line="400" w:lineRule="exact"/>
              <w:jc w:val="center"/>
              <w:rPr>
                <w:rFonts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498" w:type="dxa"/>
            <w:vAlign w:val="center"/>
          </w:tcPr>
          <w:p w14:paraId="2A0DD61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613E26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B2FB65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4073ECA5">
            <w:pPr>
              <w:jc w:val="center"/>
              <w:rPr>
                <w:rFonts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3.16-3.22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3A4A4E22">
            <w:pPr>
              <w:spacing w:line="400" w:lineRule="exact"/>
              <w:jc w:val="center"/>
              <w:rPr>
                <w:rFonts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 xml:space="preserve">第八章：平面解析几何     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3DD86493">
            <w:pPr>
              <w:spacing w:line="400" w:lineRule="exact"/>
              <w:jc w:val="center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直线方程</w:t>
            </w:r>
          </w:p>
          <w:p w14:paraId="68934399">
            <w:pPr>
              <w:spacing w:line="400" w:lineRule="exact"/>
              <w:jc w:val="center"/>
              <w:rPr>
                <w:rFonts w:hint="eastAsia" w:ascii="Times New Roman" w:hAnsi="Times New Roman"/>
                <w:sz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lang w:val="en-US" w:eastAsia="zh-CN"/>
              </w:rPr>
              <w:t>两直线位置关系</w:t>
            </w:r>
          </w:p>
          <w:p w14:paraId="329B2B83">
            <w:pPr>
              <w:spacing w:line="400" w:lineRule="exact"/>
              <w:jc w:val="center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圆</w:t>
            </w:r>
          </w:p>
        </w:tc>
        <w:tc>
          <w:tcPr>
            <w:tcW w:w="498" w:type="dxa"/>
            <w:vAlign w:val="center"/>
          </w:tcPr>
          <w:p w14:paraId="6B3EBF4F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</w:t>
            </w:r>
          </w:p>
        </w:tc>
      </w:tr>
      <w:tr w14:paraId="41D02B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B46FCB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3D58B60B">
            <w:pPr>
              <w:jc w:val="center"/>
              <w:rPr>
                <w:rFonts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3.23-3.29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0F4C9020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 xml:space="preserve">第八章：平面解析几何     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3139F281">
            <w:pPr>
              <w:spacing w:line="400" w:lineRule="exact"/>
              <w:jc w:val="center"/>
              <w:rPr>
                <w:rFonts w:hint="eastAsia" w:ascii="Times New Roman" w:hAnsi="Times New Roman"/>
                <w:sz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lang w:val="en-US" w:eastAsia="zh-CN"/>
              </w:rPr>
              <w:t>椭圆</w:t>
            </w:r>
          </w:p>
          <w:p w14:paraId="75951D64">
            <w:pPr>
              <w:spacing w:line="400" w:lineRule="exact"/>
              <w:jc w:val="center"/>
              <w:rPr>
                <w:rFonts w:hint="eastAsia" w:ascii="Times New Roman" w:hAnsi="Times New Roman"/>
                <w:sz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lang w:val="en-US" w:eastAsia="zh-CN"/>
              </w:rPr>
              <w:t>直线和椭圆的位置关系</w:t>
            </w:r>
          </w:p>
          <w:p w14:paraId="7FC1280F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4"/>
                <w:lang w:val="en-US" w:eastAsia="zh-CN" w:bidi="ar-SA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双曲线</w:t>
            </w:r>
          </w:p>
        </w:tc>
        <w:tc>
          <w:tcPr>
            <w:tcW w:w="498" w:type="dxa"/>
            <w:vAlign w:val="center"/>
          </w:tcPr>
          <w:p w14:paraId="05D7C5E9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</w:t>
            </w:r>
          </w:p>
        </w:tc>
      </w:tr>
      <w:tr w14:paraId="387E77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50D42B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7683F360">
            <w:pPr>
              <w:jc w:val="center"/>
              <w:rPr>
                <w:rFonts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3.30-4.5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38C05DC4">
            <w:pPr>
              <w:spacing w:line="400" w:lineRule="exact"/>
              <w:jc w:val="center"/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 xml:space="preserve">第八章：平面解析几何  </w:t>
            </w:r>
          </w:p>
          <w:p w14:paraId="01EA8E45">
            <w:pPr>
              <w:spacing w:line="400" w:lineRule="exact"/>
              <w:ind w:firstLine="720" w:firstLineChars="300"/>
              <w:jc w:val="both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 xml:space="preserve">第九章：立体几何   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2F84A525">
            <w:pPr>
              <w:spacing w:line="400" w:lineRule="exact"/>
              <w:jc w:val="center"/>
              <w:rPr>
                <w:rFonts w:hint="eastAsia" w:ascii="Times New Roman" w:hAnsi="Times New Roman"/>
                <w:sz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lang w:val="en-US" w:eastAsia="zh-CN"/>
              </w:rPr>
              <w:t>抛物线</w:t>
            </w:r>
          </w:p>
          <w:p w14:paraId="38BB36CF">
            <w:pPr>
              <w:spacing w:line="400" w:lineRule="exact"/>
              <w:jc w:val="center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空间几何体的三视图</w:t>
            </w:r>
          </w:p>
          <w:p w14:paraId="5ABAD006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直观图表面积和体积</w:t>
            </w:r>
          </w:p>
        </w:tc>
        <w:tc>
          <w:tcPr>
            <w:tcW w:w="498" w:type="dxa"/>
            <w:vAlign w:val="center"/>
          </w:tcPr>
          <w:p w14:paraId="585B0FEA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</w:t>
            </w:r>
          </w:p>
        </w:tc>
      </w:tr>
      <w:tr w14:paraId="7EE4A3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B8D36A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4376274A">
            <w:pPr>
              <w:jc w:val="center"/>
              <w:rPr>
                <w:rFonts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4.6-4.12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26CE2970">
            <w:pPr>
              <w:spacing w:line="400" w:lineRule="exact"/>
              <w:ind w:firstLine="720" w:firstLineChars="300"/>
              <w:jc w:val="left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 xml:space="preserve">第九章：立体几何   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26F98A0A">
            <w:pPr>
              <w:spacing w:line="400" w:lineRule="exact"/>
              <w:jc w:val="center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平面的基本性质</w:t>
            </w:r>
          </w:p>
          <w:p w14:paraId="2BE85DB3">
            <w:pPr>
              <w:spacing w:line="400" w:lineRule="exact"/>
              <w:jc w:val="center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两条直线的位置关系</w:t>
            </w:r>
          </w:p>
          <w:p w14:paraId="731CF9A7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直线与平面的位置关系</w:t>
            </w:r>
          </w:p>
        </w:tc>
        <w:tc>
          <w:tcPr>
            <w:tcW w:w="498" w:type="dxa"/>
            <w:vAlign w:val="center"/>
          </w:tcPr>
          <w:p w14:paraId="187C981F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</w:t>
            </w:r>
          </w:p>
        </w:tc>
      </w:tr>
      <w:tr w14:paraId="7CC0EB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376147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33FC554D">
            <w:pPr>
              <w:jc w:val="center"/>
              <w:rPr>
                <w:rFonts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4.13-4.19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6391BE84">
            <w:pPr>
              <w:spacing w:line="400" w:lineRule="exact"/>
              <w:jc w:val="center"/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第九章：立体几何</w:t>
            </w:r>
          </w:p>
          <w:p w14:paraId="0664B856">
            <w:pPr>
              <w:spacing w:line="400" w:lineRule="exact"/>
              <w:jc w:val="center"/>
              <w:rPr>
                <w:rFonts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 xml:space="preserve">第十章：概率与统计初步        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54CE6770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平面与平面的位置关系</w:t>
            </w:r>
          </w:p>
          <w:p w14:paraId="2835F197">
            <w:pPr>
              <w:spacing w:line="400" w:lineRule="exact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  <w:t>随机事件</w:t>
            </w:r>
          </w:p>
          <w:p w14:paraId="76034BAC">
            <w:pPr>
              <w:spacing w:line="400" w:lineRule="exact"/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  <w:t>古典概型</w:t>
            </w:r>
          </w:p>
        </w:tc>
        <w:tc>
          <w:tcPr>
            <w:tcW w:w="498" w:type="dxa"/>
            <w:vAlign w:val="center"/>
          </w:tcPr>
          <w:p w14:paraId="43A3C4C7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</w:t>
            </w:r>
          </w:p>
        </w:tc>
      </w:tr>
      <w:tr w14:paraId="26DDC3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4DF9B9A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00539CCD">
            <w:pPr>
              <w:jc w:val="center"/>
              <w:rPr>
                <w:rFonts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4.20-4.26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22B31E3F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 xml:space="preserve">第十章：概率与统计初步  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0A66A0F1">
            <w:pPr>
              <w:spacing w:line="400" w:lineRule="exact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概率的简单性质</w:t>
            </w:r>
          </w:p>
          <w:p w14:paraId="544E8CCD">
            <w:pPr>
              <w:spacing w:line="400" w:lineRule="exact"/>
              <w:jc w:val="center"/>
              <w:rPr>
                <w:rFonts w:hint="eastAsia" w:ascii="Times New Roman" w:hAnsi="Times New Roman"/>
                <w:sz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lang w:val="en-US" w:eastAsia="zh-CN"/>
              </w:rPr>
              <w:t>抽样方法</w:t>
            </w:r>
          </w:p>
          <w:p w14:paraId="440E0CCB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lang w:val="en-US" w:eastAsia="zh-CN"/>
              </w:rPr>
              <w:t>统计图表</w:t>
            </w:r>
          </w:p>
        </w:tc>
        <w:tc>
          <w:tcPr>
            <w:tcW w:w="498" w:type="dxa"/>
            <w:vAlign w:val="center"/>
          </w:tcPr>
          <w:p w14:paraId="19888EDF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</w:t>
            </w:r>
          </w:p>
        </w:tc>
      </w:tr>
      <w:tr w14:paraId="7AC907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E5B178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27A1545B">
            <w:pPr>
              <w:jc w:val="center"/>
              <w:rPr>
                <w:rFonts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4.27-5.3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732DEC24">
            <w:pPr>
              <w:spacing w:line="400" w:lineRule="exact"/>
              <w:jc w:val="center"/>
              <w:rPr>
                <w:rFonts w:hint="eastAsia" w:ascii="Times New Roman" w:hAnsi="Times New Roman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期中考试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43C90D0D">
            <w:pPr>
              <w:spacing w:line="400" w:lineRule="exact"/>
              <w:jc w:val="center"/>
              <w:rPr>
                <w:rFonts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期中考试</w:t>
            </w:r>
          </w:p>
        </w:tc>
        <w:tc>
          <w:tcPr>
            <w:tcW w:w="498" w:type="dxa"/>
            <w:vAlign w:val="center"/>
          </w:tcPr>
          <w:p w14:paraId="13067BD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1220E3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9E86D5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34B875A8">
            <w:pPr>
              <w:jc w:val="center"/>
              <w:rPr>
                <w:rFonts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5.4-5.10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5E666DC8">
            <w:pPr>
              <w:spacing w:line="400" w:lineRule="exact"/>
              <w:ind w:firstLine="240" w:firstLineChars="100"/>
              <w:jc w:val="both"/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第十章：概率与统计初步</w:t>
            </w:r>
          </w:p>
          <w:p w14:paraId="3AA2B310">
            <w:pPr>
              <w:spacing w:line="400" w:lineRule="exact"/>
              <w:ind w:firstLine="720" w:firstLineChars="300"/>
              <w:jc w:val="left"/>
              <w:rPr>
                <w:rFonts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4"/>
                <w:szCs w:val="24"/>
                <w:lang w:val="en-US" w:eastAsia="zh-CN"/>
              </w:rPr>
              <w:t>第十一章：复数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40B9487A">
            <w:pPr>
              <w:spacing w:line="40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vertAlign w:val="baseline"/>
              </w:rPr>
              <w:t>样本的均值和标准差</w:t>
            </w:r>
          </w:p>
          <w:p w14:paraId="701D7B39"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复数的概念和意义</w:t>
            </w:r>
          </w:p>
          <w:p w14:paraId="132BFD2F">
            <w:pPr>
              <w:spacing w:line="400" w:lineRule="exact"/>
              <w:jc w:val="center"/>
              <w:rPr>
                <w:rFonts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复数的运算</w:t>
            </w:r>
          </w:p>
        </w:tc>
        <w:tc>
          <w:tcPr>
            <w:tcW w:w="498" w:type="dxa"/>
            <w:vAlign w:val="center"/>
          </w:tcPr>
          <w:p w14:paraId="7A6BBC39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</w:t>
            </w:r>
          </w:p>
        </w:tc>
      </w:tr>
      <w:tr w14:paraId="69E50F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463B13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700" w:type="dxa"/>
            <w:vAlign w:val="center"/>
          </w:tcPr>
          <w:p w14:paraId="4F933D1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5.11-5.17</w:t>
            </w:r>
          </w:p>
        </w:tc>
        <w:tc>
          <w:tcPr>
            <w:tcW w:w="3671" w:type="dxa"/>
            <w:vAlign w:val="center"/>
          </w:tcPr>
          <w:p w14:paraId="5E9A68BA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总复习</w:t>
            </w:r>
          </w:p>
        </w:tc>
        <w:tc>
          <w:tcPr>
            <w:tcW w:w="3558" w:type="dxa"/>
            <w:vAlign w:val="center"/>
          </w:tcPr>
          <w:p w14:paraId="64B08035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综合试卷</w:t>
            </w:r>
          </w:p>
        </w:tc>
        <w:tc>
          <w:tcPr>
            <w:tcW w:w="498" w:type="dxa"/>
            <w:vAlign w:val="center"/>
          </w:tcPr>
          <w:p w14:paraId="62336CE2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</w:t>
            </w:r>
          </w:p>
        </w:tc>
      </w:tr>
      <w:tr w14:paraId="2E9DFC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DE3D76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1700" w:type="dxa"/>
            <w:vAlign w:val="center"/>
          </w:tcPr>
          <w:p w14:paraId="78CA2DE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71" w:type="dxa"/>
            <w:vAlign w:val="center"/>
          </w:tcPr>
          <w:p w14:paraId="7F4FE150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58" w:type="dxa"/>
            <w:vAlign w:val="center"/>
          </w:tcPr>
          <w:p w14:paraId="3683B791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8" w:type="dxa"/>
            <w:vAlign w:val="center"/>
          </w:tcPr>
          <w:p w14:paraId="7626191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1EC8E2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50CE07D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700" w:type="dxa"/>
            <w:vAlign w:val="center"/>
          </w:tcPr>
          <w:p w14:paraId="0B10C9A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71" w:type="dxa"/>
            <w:vAlign w:val="center"/>
          </w:tcPr>
          <w:p w14:paraId="1E141A9B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58" w:type="dxa"/>
            <w:vAlign w:val="center"/>
          </w:tcPr>
          <w:p w14:paraId="044D5C1E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8" w:type="dxa"/>
            <w:vAlign w:val="center"/>
          </w:tcPr>
          <w:p w14:paraId="26D39A0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18D579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659E9DB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1700" w:type="dxa"/>
            <w:vAlign w:val="center"/>
          </w:tcPr>
          <w:p w14:paraId="11164E8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71" w:type="dxa"/>
            <w:vAlign w:val="center"/>
          </w:tcPr>
          <w:p w14:paraId="1FCF55FB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58" w:type="dxa"/>
            <w:vAlign w:val="center"/>
          </w:tcPr>
          <w:p w14:paraId="702235DA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8" w:type="dxa"/>
            <w:vAlign w:val="center"/>
          </w:tcPr>
          <w:p w14:paraId="6B78EAD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37B5B9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B159F9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1700" w:type="dxa"/>
            <w:vAlign w:val="center"/>
          </w:tcPr>
          <w:p w14:paraId="2798C0D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71" w:type="dxa"/>
            <w:vAlign w:val="center"/>
          </w:tcPr>
          <w:p w14:paraId="2A2A1C05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58" w:type="dxa"/>
            <w:vAlign w:val="center"/>
          </w:tcPr>
          <w:p w14:paraId="2C81BC97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8" w:type="dxa"/>
            <w:vAlign w:val="center"/>
          </w:tcPr>
          <w:p w14:paraId="082CBF5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3E6A96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75ED358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1700" w:type="dxa"/>
            <w:vAlign w:val="center"/>
          </w:tcPr>
          <w:p w14:paraId="282BF22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71" w:type="dxa"/>
            <w:vAlign w:val="center"/>
          </w:tcPr>
          <w:p w14:paraId="38F6C313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58" w:type="dxa"/>
            <w:vAlign w:val="center"/>
          </w:tcPr>
          <w:p w14:paraId="6DA68D1C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8" w:type="dxa"/>
            <w:vAlign w:val="center"/>
          </w:tcPr>
          <w:p w14:paraId="298069E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7A0DD0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076D9F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1700" w:type="dxa"/>
            <w:vAlign w:val="center"/>
          </w:tcPr>
          <w:p w14:paraId="3A9504C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71" w:type="dxa"/>
            <w:vAlign w:val="center"/>
          </w:tcPr>
          <w:p w14:paraId="01E4AED8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58" w:type="dxa"/>
            <w:vAlign w:val="center"/>
          </w:tcPr>
          <w:p w14:paraId="3D144D91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8" w:type="dxa"/>
            <w:vAlign w:val="center"/>
          </w:tcPr>
          <w:p w14:paraId="4EF076E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44AD94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1905EB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1700" w:type="dxa"/>
            <w:vAlign w:val="center"/>
          </w:tcPr>
          <w:p w14:paraId="1A8E1A4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71" w:type="dxa"/>
            <w:vAlign w:val="center"/>
          </w:tcPr>
          <w:p w14:paraId="5892C513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58" w:type="dxa"/>
            <w:vAlign w:val="center"/>
          </w:tcPr>
          <w:p w14:paraId="119F407C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8" w:type="dxa"/>
            <w:vAlign w:val="center"/>
          </w:tcPr>
          <w:p w14:paraId="2579974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30957C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6A19CC3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1700" w:type="dxa"/>
            <w:vAlign w:val="center"/>
          </w:tcPr>
          <w:p w14:paraId="7ABD86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71" w:type="dxa"/>
            <w:vAlign w:val="center"/>
          </w:tcPr>
          <w:p w14:paraId="53EBF626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58" w:type="dxa"/>
            <w:vAlign w:val="center"/>
          </w:tcPr>
          <w:p w14:paraId="1E4EE141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8" w:type="dxa"/>
            <w:vAlign w:val="center"/>
          </w:tcPr>
          <w:p w14:paraId="53243F1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30A62A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22D3B40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19</w:t>
            </w:r>
          </w:p>
        </w:tc>
        <w:tc>
          <w:tcPr>
            <w:tcW w:w="1700" w:type="dxa"/>
            <w:vAlign w:val="center"/>
          </w:tcPr>
          <w:p w14:paraId="2EAEC45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71" w:type="dxa"/>
            <w:vAlign w:val="center"/>
          </w:tcPr>
          <w:p w14:paraId="01B010BC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58" w:type="dxa"/>
            <w:vAlign w:val="center"/>
          </w:tcPr>
          <w:p w14:paraId="5A7EB3D1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8" w:type="dxa"/>
            <w:vAlign w:val="center"/>
          </w:tcPr>
          <w:p w14:paraId="49C5499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433B54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F57488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700" w:type="dxa"/>
            <w:vAlign w:val="center"/>
          </w:tcPr>
          <w:p w14:paraId="2286194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71" w:type="dxa"/>
            <w:vAlign w:val="center"/>
          </w:tcPr>
          <w:p w14:paraId="0D851935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58" w:type="dxa"/>
            <w:vAlign w:val="center"/>
          </w:tcPr>
          <w:p w14:paraId="4624BA41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8" w:type="dxa"/>
            <w:vAlign w:val="center"/>
          </w:tcPr>
          <w:p w14:paraId="0A0A2BB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65042532">
      <w:pPr>
        <w:rPr>
          <w:rFonts w:ascii="Times New Roman" w:hAnsi="Times New Roman"/>
          <w:sz w:val="32"/>
          <w:szCs w:val="32"/>
        </w:rPr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713E"/>
    <w:rsid w:val="0010401F"/>
    <w:rsid w:val="004F713E"/>
    <w:rsid w:val="005B1E69"/>
    <w:rsid w:val="006D40A1"/>
    <w:rsid w:val="00705E0A"/>
    <w:rsid w:val="009152AC"/>
    <w:rsid w:val="00B02BB7"/>
    <w:rsid w:val="00F5669D"/>
    <w:rsid w:val="080A43E7"/>
    <w:rsid w:val="09C3197A"/>
    <w:rsid w:val="288030C4"/>
    <w:rsid w:val="3F3B0FCC"/>
    <w:rsid w:val="449325D5"/>
    <w:rsid w:val="4CAE33BA"/>
    <w:rsid w:val="592F7A5F"/>
    <w:rsid w:val="5C71038F"/>
    <w:rsid w:val="6FA511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5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1478</Words>
  <Characters>1587</Characters>
  <Lines>2</Lines>
  <Paragraphs>1</Paragraphs>
  <TotalTime>0</TotalTime>
  <ScaleCrop>false</ScaleCrop>
  <LinksUpToDate>false</LinksUpToDate>
  <CharactersWithSpaces>1629</CharactersWithSpaces>
  <Application>WPS Office_12.1.0.25222_F1E327BC-269C-435d-A152-05C5408002CA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2025-02-04T14:45:00Z</dcterms:created>
  <dc:creator>dell</dc:creator>
  <cp:lastModifiedBy>Administrator</cp:lastModifiedBy>
  <dcterms:modified xsi:type="dcterms:W3CDTF">2026-03-18T07:55:31Z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2052-12.1.0.25222</vt:lpwstr>
  </property>
  <property fmtid="{D5CDD505-2E9C-101B-9397-08002B2CF9AE}" pid="3" name="KSOTemplateDocerSaveRecord">
    <vt:lpwstr>eyJoZGlkIjoiYzgxMzcyODQ2YjI1MzI4NGQ0YWU0M2VkZTYxMDZjZDAiLCJ1c2VySWQiOiI0MjQxNTA4OTEifQ==</vt:lpwstr>
  </property>
  <property fmtid="{D5CDD505-2E9C-101B-9397-08002B2CF9AE}" pid="4" name="ICV">
    <vt:lpwstr>48D492E0204B4A52876B6501D8C9124B_13</vt:lpwstr>
  </property>
</Properties>
</file>