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高中数学</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吴静</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24级高考班舞大1班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18</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1"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4ECC3006">
            <w:pPr>
              <w:spacing w:line="400" w:lineRule="exact"/>
              <w:jc w:val="both"/>
              <w:rPr>
                <w:rFonts w:hint="eastAsia" w:ascii="Times New Roman" w:hAnsi="Times New Roman" w:eastAsia="宋体"/>
                <w:sz w:val="28"/>
                <w:szCs w:val="28"/>
                <w:lang w:val="en-US" w:eastAsia="zh-CN"/>
              </w:rPr>
            </w:pPr>
            <w:r>
              <w:rPr>
                <w:rFonts w:hint="eastAsia" w:ascii="宋体" w:hAnsi="宋体" w:eastAsia="宋体" w:cs="宋体"/>
                <w:b w:val="0"/>
                <w:bCs w:val="0"/>
                <w:i w:val="0"/>
                <w:iCs w:val="0"/>
                <w:caps w:val="0"/>
                <w:spacing w:val="0"/>
                <w:sz w:val="24"/>
                <w:szCs w:val="24"/>
                <w:shd w:val="clear" w:fill="FFFFFF"/>
              </w:rPr>
              <w:t>《选择性必修第一册》是高二数学核心教材，共三章，聚焦</w:t>
            </w:r>
            <w:r>
              <w:rPr>
                <w:rStyle w:val="7"/>
                <w:rFonts w:hint="eastAsia" w:ascii="宋体" w:hAnsi="宋体" w:eastAsia="宋体" w:cs="宋体"/>
                <w:b w:val="0"/>
                <w:bCs w:val="0"/>
                <w:i w:val="0"/>
                <w:iCs w:val="0"/>
                <w:caps w:val="0"/>
                <w:spacing w:val="0"/>
                <w:sz w:val="24"/>
                <w:szCs w:val="24"/>
                <w:u w:val="none"/>
                <w:shd w:val="clear" w:fill="FFFFFF"/>
              </w:rPr>
              <w:t>空间向量与立体几何、直线和圆的方程、圆锥曲线的方程</w:t>
            </w:r>
            <w:r>
              <w:rPr>
                <w:rFonts w:hint="eastAsia" w:ascii="宋体" w:hAnsi="宋体" w:eastAsia="宋体" w:cs="宋体"/>
                <w:b w:val="0"/>
                <w:bCs w:val="0"/>
                <w:i w:val="0"/>
                <w:iCs w:val="0"/>
                <w:caps w:val="0"/>
                <w:spacing w:val="0"/>
                <w:sz w:val="24"/>
                <w:szCs w:val="24"/>
                <w:shd w:val="clear" w:fill="FFFFFF"/>
              </w:rPr>
              <w:t>三大模块，强调从二维到三维的思维跃迁及解析几何综合应用。该册内容为高考重点，</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空间向量法向量、方向向量，平行、垂直的向量证明方法，夹角、距离空间向量求解，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斜率，直线斜率取值范围，直线五种方程，平行系、垂直系直线方程，直线与直线交点、距离，圆的一般方程、标准方程，切线方程，两圆的交线方程，距离公式，椭圆、双曲线、椭圆方程、焦点，离心率应用，</w:t>
            </w:r>
            <w:r>
              <w:rPr>
                <w:rFonts w:hint="eastAsia" w:ascii="宋体" w:hAnsi="宋体" w:eastAsia="宋体" w:cs="宋体"/>
                <w:b w:val="0"/>
                <w:bCs w:val="0"/>
                <w:i w:val="0"/>
                <w:iCs w:val="0"/>
                <w:caps w:val="0"/>
                <w:spacing w:val="0"/>
                <w:sz w:val="24"/>
                <w:szCs w:val="24"/>
                <w:shd w:val="clear" w:fill="FFFFFF"/>
              </w:rPr>
              <w:t>尤其在立体几何证明、轨迹问题、最值建模中高频出现</w:t>
            </w:r>
            <w:r>
              <w:rPr>
                <w:rFonts w:hint="eastAsia" w:ascii="宋体" w:hAnsi="宋体" w:eastAsia="宋体" w:cs="宋体"/>
                <w:b w:val="0"/>
                <w:bCs w:val="0"/>
                <w:i w:val="0"/>
                <w:iCs w:val="0"/>
                <w:caps w:val="0"/>
                <w:spacing w:val="0"/>
                <w:sz w:val="24"/>
                <w:szCs w:val="24"/>
                <w:shd w:val="clear" w:fill="FFFFFF"/>
                <w:lang w:eastAsia="zh-CN"/>
              </w:rPr>
              <w:t>。</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DA7343D">
            <w:pPr>
              <w:spacing w:line="400" w:lineRule="exact"/>
              <w:jc w:val="left"/>
              <w:rPr>
                <w:rFonts w:ascii="Times New Roman" w:hAnsi="Times New Roman"/>
                <w:sz w:val="28"/>
                <w:szCs w:val="28"/>
              </w:rPr>
            </w:pPr>
            <w:r>
              <w:rPr>
                <w:rFonts w:hint="eastAsia" w:ascii="宋体" w:hAnsi="宋体" w:eastAsia="宋体" w:cs="宋体"/>
                <w:b w:val="0"/>
                <w:bCs w:val="0"/>
                <w:i w:val="0"/>
                <w:iCs w:val="0"/>
                <w:caps w:val="0"/>
                <w:spacing w:val="0"/>
                <w:sz w:val="24"/>
                <w:szCs w:val="24"/>
                <w:shd w:val="clear" w:fill="FFFFFF"/>
              </w:rPr>
              <w:t>高二数学在整个高中阶段具有承上启下的关键作用，其知识难度和对学生能力的要求较高一有显著提升。相较于高一阶段侧重知识理解，高二更强调</w:t>
            </w:r>
            <w:r>
              <w:rPr>
                <w:rStyle w:val="7"/>
                <w:rFonts w:hint="eastAsia" w:ascii="宋体" w:hAnsi="宋体" w:eastAsia="宋体" w:cs="宋体"/>
                <w:b w:val="0"/>
                <w:bCs w:val="0"/>
                <w:i w:val="0"/>
                <w:iCs w:val="0"/>
                <w:caps w:val="0"/>
                <w:spacing w:val="0"/>
                <w:sz w:val="24"/>
                <w:szCs w:val="24"/>
                <w:u w:val="none"/>
                <w:shd w:val="clear" w:fill="FFFFFF"/>
              </w:rPr>
              <w:t>解题技巧的熟练度</w:t>
            </w:r>
            <w:r>
              <w:rPr>
                <w:rFonts w:hint="eastAsia" w:ascii="宋体" w:hAnsi="宋体" w:eastAsia="宋体" w:cs="宋体"/>
                <w:b w:val="0"/>
                <w:bCs w:val="0"/>
                <w:i w:val="0"/>
                <w:iCs w:val="0"/>
                <w:caps w:val="0"/>
                <w:spacing w:val="0"/>
                <w:sz w:val="24"/>
                <w:szCs w:val="24"/>
                <w:shd w:val="clear" w:fill="FFFFFF"/>
              </w:rPr>
              <w:t>和</w:t>
            </w:r>
            <w:r>
              <w:rPr>
                <w:rStyle w:val="7"/>
                <w:rFonts w:hint="eastAsia" w:ascii="宋体" w:hAnsi="宋体" w:eastAsia="宋体" w:cs="宋体"/>
                <w:b w:val="0"/>
                <w:bCs w:val="0"/>
                <w:i w:val="0"/>
                <w:iCs w:val="0"/>
                <w:caps w:val="0"/>
                <w:spacing w:val="0"/>
                <w:sz w:val="24"/>
                <w:szCs w:val="24"/>
                <w:u w:val="none"/>
                <w:shd w:val="clear" w:fill="FFFFFF"/>
              </w:rPr>
              <w:t>数学思维的深度</w:t>
            </w:r>
            <w:r>
              <w:rPr>
                <w:rFonts w:hint="eastAsia" w:ascii="宋体" w:hAnsi="宋体" w:eastAsia="宋体" w:cs="宋体"/>
                <w:b w:val="0"/>
                <w:bCs w:val="0"/>
                <w:i w:val="0"/>
                <w:iCs w:val="0"/>
                <w:caps w:val="0"/>
                <w:spacing w:val="0"/>
                <w:sz w:val="24"/>
                <w:szCs w:val="24"/>
                <w:shd w:val="clear" w:fill="FFFFFF"/>
              </w:rPr>
              <w:t>，例如通过导数工具深化函数单调性的研究，引入椭圆、双曲线等复杂曲线拓展解析几何内容，同时立体几何中空间向量方法的应用也增加了运算量与思维转换的要求。这一阶段的学习效果直接影响高考复习的效率，既是学生实现成绩超越的最佳时期，也是基础薄弱学生追赶的最后机会</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FC8C901">
            <w:pPr>
              <w:spacing w:line="400" w:lineRule="exact"/>
              <w:jc w:val="both"/>
              <w:rPr>
                <w:rFonts w:hint="eastAsia" w:ascii="Times New Roman" w:hAnsi="Times New Roman" w:eastAsia="宋体"/>
                <w:sz w:val="28"/>
                <w:szCs w:val="28"/>
                <w:lang w:eastAsia="zh-CN"/>
              </w:rPr>
            </w:pP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空间向量法向量，方向向量，线线、线面、面面平行，线线、线面、面面垂直的向量证明方法，线线、线面、面面夹角，线线、线面、面面距离空间向量求解，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 α</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直线的斜率，直线斜率取值范围，直线五种方程，直线与坐标轴交点，平行系、垂直系直线方程，直线与直线交点，直线与直线距离，圆的一般方程、标准方程，圆心、半径，直线与圆的距离，直线与圆的位置关系，圆与圆的位置关系，切线方程，两圆的交线方程，距离公式，椭圆、双曲线、椭圆方程、焦点，离心率应用</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4F1E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rPr>
                <w:rFonts w:ascii="Times New Roman" w:hAnsi="Times New Roman"/>
                <w:sz w:val="28"/>
                <w:szCs w:val="28"/>
              </w:rPr>
            </w:pPr>
            <w:bookmarkStart w:id="0" w:name="OLE_LINK2"/>
            <w:r>
              <w:rPr>
                <w:rFonts w:ascii="Arial" w:hAnsi="Arial" w:eastAsia="宋体" w:cs="Arial"/>
                <w:i w:val="0"/>
                <w:iCs w:val="0"/>
                <w:caps w:val="0"/>
                <w:color w:val="333333"/>
                <w:spacing w:val="0"/>
                <w:sz w:val="24"/>
                <w:szCs w:val="24"/>
                <w:shd w:val="clear" w:fill="FFFFFF"/>
              </w:rPr>
              <w:t>在学习过程中，培养学生的合情推理能力</w:t>
            </w:r>
            <w:r>
              <w:rPr>
                <w:rFonts w:hint="eastAsia" w:ascii="Arial" w:hAnsi="Arial" w:eastAsia="宋体" w:cs="Arial"/>
                <w:i w:val="0"/>
                <w:iCs w:val="0"/>
                <w:caps w:val="0"/>
                <w:color w:val="333333"/>
                <w:spacing w:val="0"/>
                <w:sz w:val="24"/>
                <w:szCs w:val="24"/>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24"/>
                <w:szCs w:val="24"/>
                <w:shd w:val="clear" w:color="auto" w:fill="auto"/>
              </w:rPr>
              <w:t>引导学生自主学习，使学生愿学、会学，并能灵活运用所学知识解决实际问题</w:t>
            </w:r>
            <w:r>
              <w:rPr>
                <w:rFonts w:hint="eastAsia" w:asciiTheme="minorEastAsia" w:hAnsiTheme="minorEastAsia" w:cstheme="minorEastAsia"/>
                <w:b w:val="0"/>
                <w:bCs w:val="0"/>
                <w:i w:val="0"/>
                <w:iCs w:val="0"/>
                <w:caps w:val="0"/>
                <w:color w:val="333333"/>
                <w:spacing w:val="0"/>
                <w:sz w:val="24"/>
                <w:szCs w:val="24"/>
                <w:shd w:val="clear" w:color="auto" w:fill="auto"/>
                <w:lang w:eastAsia="zh-CN"/>
              </w:rPr>
              <w:t>，</w:t>
            </w:r>
            <w:r>
              <w:rPr>
                <w:rFonts w:ascii="Arial" w:hAnsi="Arial" w:eastAsia="宋体" w:cs="Arial"/>
                <w:i w:val="0"/>
                <w:iCs w:val="0"/>
                <w:caps w:val="0"/>
                <w:color w:val="333333"/>
                <w:spacing w:val="0"/>
                <w:sz w:val="24"/>
                <w:szCs w:val="24"/>
                <w:shd w:val="clear" w:fill="FFFFFF"/>
              </w:rPr>
              <w:t>在探索学习过程中，发展学生的抽象概括能力和空间观念</w:t>
            </w:r>
            <w:r>
              <w:rPr>
                <w:rFonts w:hint="eastAsia"/>
                <w:sz w:val="24"/>
                <w:szCs w:val="24"/>
                <w:lang w:eastAsia="zh-CN"/>
              </w:rPr>
              <w:t>，</w:t>
            </w:r>
            <w:r>
              <w:rPr>
                <w:rFonts w:hint="eastAsia"/>
                <w:sz w:val="24"/>
                <w:szCs w:val="24"/>
              </w:rPr>
              <w:t>改进学习方法，培养学习的自觉性与信心，改进学习方法，培养良好的学习习惯，提高学习兴趣</w:t>
            </w:r>
            <w:bookmarkEnd w:id="0"/>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ECD2C6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sz w:val="28"/>
                <w:szCs w:val="28"/>
              </w:rPr>
            </w:pPr>
            <w:r>
              <w:rPr>
                <w:rFonts w:ascii="Arial" w:hAnsi="Arial" w:eastAsia="宋体" w:cs="Arial"/>
                <w:i w:val="0"/>
                <w:iCs w:val="0"/>
                <w:caps w:val="0"/>
                <w:color w:val="333333"/>
                <w:spacing w:val="0"/>
                <w:sz w:val="24"/>
                <w:szCs w:val="24"/>
                <w:shd w:val="clear" w:fill="FFFFFF"/>
              </w:rPr>
              <w:t>强调数学抽象、逻辑推理、数学建模、直观想象、数学运算、数据分析等能力的培养。注重培养学生运用数学知识解决实际问题的能力，鼓励学生在真实情境中应用数学模型，提升创新思维和实践能力。培养学生严谨的学习态度、独立思考的习惯以及团队合作精神，通过小组讨论、探究式学习等方式促进学生主动参与</w:t>
            </w:r>
            <w:r>
              <w:rPr>
                <w:rFonts w:hint="eastAsia" w:ascii="Arial" w:hAnsi="Arial" w:eastAsia="宋体" w:cs="Arial"/>
                <w:i w:val="0"/>
                <w:iCs w:val="0"/>
                <w:caps w:val="0"/>
                <w:color w:val="333333"/>
                <w:spacing w:val="0"/>
                <w:sz w:val="24"/>
                <w:szCs w:val="24"/>
                <w:shd w:val="clear" w:fill="FFFFFF"/>
                <w:lang w:eastAsia="zh-CN"/>
              </w:rPr>
              <w:t>，</w:t>
            </w:r>
            <w:r>
              <w:rPr>
                <w:rFonts w:hint="eastAsia"/>
                <w:sz w:val="24"/>
                <w:szCs w:val="24"/>
              </w:rPr>
              <w:t>提高学习质量，养成良好的学习习惯</w:t>
            </w:r>
            <w:r>
              <w:rPr>
                <w:rFonts w:hint="eastAsia"/>
                <w:sz w:val="24"/>
                <w:szCs w:val="24"/>
                <w:lang w:eastAsia="zh-CN"/>
              </w:rPr>
              <w:t>，</w:t>
            </w:r>
            <w:r>
              <w:rPr>
                <w:rFonts w:hint="eastAsia"/>
                <w:sz w:val="24"/>
                <w:szCs w:val="24"/>
              </w:rPr>
              <w:t>培养学习积极性</w:t>
            </w:r>
            <w:bookmarkStart w:id="1" w:name="_GoBack"/>
            <w:bookmarkEnd w:id="1"/>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5BE21B09">
            <w:pPr>
              <w:spacing w:line="400" w:lineRule="exact"/>
              <w:jc w:val="both"/>
              <w:rPr>
                <w:rFonts w:ascii="Times New Roman" w:hAnsi="Times New Roman"/>
                <w:sz w:val="28"/>
                <w:szCs w:val="28"/>
              </w:rPr>
            </w:pPr>
            <w:r>
              <w:rPr>
                <w:rFonts w:hint="eastAsia" w:ascii="Times New Roman" w:hAnsi="Times New Roman"/>
                <w:sz w:val="24"/>
                <w:szCs w:val="24"/>
                <w:lang w:val="en-US" w:eastAsia="zh-CN"/>
              </w:rPr>
              <w:t>学生课堂表现，课下作业完成情况</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期中纸质试卷（满分150，分为单选题，多选题，填空题，解答题）</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2BE32FE9">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期末纸质试卷（满分150，分为单选题，多选题，填空题，解答题）</w:t>
            </w:r>
          </w:p>
        </w:tc>
      </w:tr>
    </w:tbl>
    <w:p w14:paraId="3848FB66">
      <w:pPr>
        <w:rPr>
          <w:rFonts w:ascii="Times New Roman" w:hAnsi="Times New Roman"/>
          <w:sz w:val="32"/>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ascii="Times New Roman" w:hAnsi="Times New Roman"/>
                <w:sz w:val="28"/>
                <w:szCs w:val="28"/>
              </w:rPr>
            </w:pPr>
            <w:r>
              <w:rPr>
                <w:rFonts w:hint="eastAsia" w:ascii="Times New Roman" w:hAnsi="Times New Roman"/>
                <w:sz w:val="28"/>
                <w:szCs w:val="28"/>
                <w:lang w:val="en-US" w:eastAsia="zh-CN"/>
              </w:rPr>
              <w:t>3.9-3.15</w:t>
            </w:r>
          </w:p>
        </w:tc>
        <w:tc>
          <w:tcPr>
            <w:tcW w:w="3671" w:type="dxa"/>
            <w:vAlign w:val="center"/>
          </w:tcPr>
          <w:p w14:paraId="4FEA0D30">
            <w:pPr>
              <w:spacing w:line="400" w:lineRule="exact"/>
              <w:jc w:val="center"/>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空间向量坐标运算</w:t>
            </w:r>
          </w:p>
        </w:tc>
        <w:tc>
          <w:tcPr>
            <w:tcW w:w="3558" w:type="dxa"/>
            <w:vAlign w:val="center"/>
          </w:tcPr>
          <w:p w14:paraId="6108CF84">
            <w:pPr>
              <w:spacing w:line="400" w:lineRule="exact"/>
              <w:jc w:val="left"/>
              <w:rPr>
                <w:rFonts w:hint="eastAsia" w:ascii="Times New Roman" w:hAnsi="Times New Roman" w:eastAsiaTheme="minorEastAsia"/>
                <w:sz w:val="24"/>
                <w:szCs w:val="24"/>
                <w:lang w:eastAsia="zh-CN"/>
              </w:rPr>
            </w:pPr>
            <w:r>
              <w:rPr>
                <w:rFonts w:hint="eastAsia" w:ascii="Times New Roman" w:hAnsi="Times New Roman"/>
                <w:sz w:val="24"/>
                <w:szCs w:val="24"/>
                <w:lang w:eastAsia="zh-CN"/>
              </w:rPr>
              <w:t>空间向量线性运算法则，平行与垂直应用</w:t>
            </w:r>
          </w:p>
        </w:tc>
        <w:tc>
          <w:tcPr>
            <w:tcW w:w="498" w:type="dxa"/>
            <w:vAlign w:val="center"/>
          </w:tcPr>
          <w:p w14:paraId="2A0DD611">
            <w:pPr>
              <w:jc w:val="center"/>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ascii="Times New Roman" w:hAnsi="Times New Roman"/>
                <w:sz w:val="28"/>
                <w:szCs w:val="28"/>
              </w:rPr>
            </w:pPr>
            <w:r>
              <w:rPr>
                <w:rFonts w:hint="eastAsia" w:ascii="Times New Roman" w:hAnsi="Times New Roman"/>
                <w:sz w:val="28"/>
                <w:szCs w:val="28"/>
                <w:lang w:val="en-US" w:eastAsia="zh-CN"/>
              </w:rPr>
              <w:t>3.16-3.22</w:t>
            </w:r>
          </w:p>
        </w:tc>
        <w:tc>
          <w:tcPr>
            <w:tcW w:w="3671" w:type="dxa"/>
            <w:vAlign w:val="center"/>
          </w:tcPr>
          <w:p w14:paraId="0B79817E">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空间向量的法向量，方向向量</w:t>
            </w:r>
          </w:p>
          <w:p w14:paraId="2C7EF09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线线、线面、面面平行</w:t>
            </w:r>
          </w:p>
          <w:p w14:paraId="66E7E4C8">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线线、线面、面面垂直</w:t>
            </w:r>
          </w:p>
        </w:tc>
        <w:tc>
          <w:tcPr>
            <w:tcW w:w="3558" w:type="dxa"/>
            <w:vAlign w:val="center"/>
          </w:tcPr>
          <w:p w14:paraId="56A0C3BB">
            <w:pPr>
              <w:spacing w:line="400" w:lineRule="exact"/>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空间向量的法向量，方向向量，线线、线面、面面平行，线线、线面、面面垂直的公式、方法技巧</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ascii="Times New Roman" w:hAnsi="Times New Roman"/>
                <w:sz w:val="28"/>
                <w:szCs w:val="28"/>
              </w:rPr>
            </w:pPr>
            <w:r>
              <w:rPr>
                <w:rFonts w:hint="eastAsia" w:ascii="Times New Roman" w:hAnsi="Times New Roman"/>
                <w:sz w:val="28"/>
                <w:szCs w:val="28"/>
                <w:lang w:val="en-US" w:eastAsia="zh-CN"/>
              </w:rPr>
              <w:t>3.23-3.29</w:t>
            </w:r>
          </w:p>
        </w:tc>
        <w:tc>
          <w:tcPr>
            <w:tcW w:w="3671" w:type="dxa"/>
            <w:vAlign w:val="center"/>
          </w:tcPr>
          <w:p w14:paraId="7ED3DEF7">
            <w:pPr>
              <w:spacing w:line="400" w:lineRule="exact"/>
              <w:jc w:val="both"/>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空间向量线线、线面、面面垂直</w:t>
            </w:r>
          </w:p>
          <w:p w14:paraId="3DA89CCF">
            <w:pPr>
              <w:spacing w:line="400" w:lineRule="exact"/>
              <w:ind w:firstLine="960" w:firstLineChars="400"/>
              <w:jc w:val="both"/>
              <w:rPr>
                <w:rFonts w:hint="default" w:ascii="Times New Roman" w:hAnsi="Times New Roman"/>
                <w:sz w:val="24"/>
                <w:szCs w:val="24"/>
                <w:lang w:val="en-US" w:eastAsia="zh-CN"/>
              </w:rPr>
            </w:pPr>
            <w:r>
              <w:rPr>
                <w:rFonts w:hint="eastAsia" w:ascii="Times New Roman" w:hAnsi="Times New Roman"/>
                <w:sz w:val="24"/>
                <w:szCs w:val="24"/>
                <w:lang w:val="en-US" w:eastAsia="zh-CN"/>
              </w:rPr>
              <w:t>空间距离</w:t>
            </w:r>
          </w:p>
        </w:tc>
        <w:tc>
          <w:tcPr>
            <w:tcW w:w="3558" w:type="dxa"/>
            <w:vAlign w:val="center"/>
          </w:tcPr>
          <w:p w14:paraId="0741E4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线线、线面、面面垂直的公式、方法技巧；</w:t>
            </w:r>
            <w:r>
              <w:rPr>
                <w:sz w:val="24"/>
                <w:szCs w:val="24"/>
              </w:rPr>
              <w:t>点到在线的距离、点到平面的距离、两条平行直线之间的距离、直线到平面的距离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ascii="Times New Roman" w:hAnsi="Times New Roman"/>
                <w:sz w:val="28"/>
                <w:szCs w:val="28"/>
              </w:rPr>
            </w:pPr>
            <w:r>
              <w:rPr>
                <w:rFonts w:hint="eastAsia" w:ascii="Times New Roman" w:hAnsi="Times New Roman"/>
                <w:sz w:val="28"/>
                <w:szCs w:val="28"/>
                <w:lang w:val="en-US" w:eastAsia="zh-CN"/>
              </w:rPr>
              <w:t>3.30-4.5</w:t>
            </w:r>
          </w:p>
        </w:tc>
        <w:tc>
          <w:tcPr>
            <w:tcW w:w="3671" w:type="dxa"/>
            <w:vAlign w:val="center"/>
          </w:tcPr>
          <w:p w14:paraId="3F1C946C">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空间距离</w:t>
            </w:r>
          </w:p>
          <w:p w14:paraId="2809FC7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空间角</w:t>
            </w:r>
          </w:p>
        </w:tc>
        <w:tc>
          <w:tcPr>
            <w:tcW w:w="3558" w:type="dxa"/>
            <w:vAlign w:val="center"/>
          </w:tcPr>
          <w:p w14:paraId="4676D876">
            <w:pPr>
              <w:spacing w:line="400" w:lineRule="exact"/>
              <w:jc w:val="left"/>
              <w:rPr>
                <w:rFonts w:hint="eastAsia" w:ascii="Times New Roman" w:hAnsi="Times New Roman" w:eastAsiaTheme="minorEastAsia"/>
                <w:sz w:val="24"/>
                <w:szCs w:val="24"/>
                <w:lang w:val="en-US" w:eastAsia="zh-CN"/>
              </w:rPr>
            </w:pPr>
            <w:r>
              <w:rPr>
                <w:sz w:val="24"/>
                <w:szCs w:val="24"/>
              </w:rPr>
              <w:t>点到在线的距离、点到平面的距离、两条平行直线之间的距离、直线到平面的距离</w:t>
            </w:r>
            <w:r>
              <w:rPr>
                <w:rFonts w:hint="eastAsia"/>
                <w:sz w:val="24"/>
                <w:szCs w:val="24"/>
                <w:lang w:eastAsia="zh-CN"/>
              </w:rPr>
              <w:t>；</w:t>
            </w:r>
            <w:r>
              <w:rPr>
                <w:sz w:val="24"/>
                <w:szCs w:val="24"/>
              </w:rPr>
              <w:t>利用向量的数量积研究两条直线所成的角、直线和平面所成的角、两个平面的夹角.</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ascii="Times New Roman" w:hAnsi="Times New Roman"/>
                <w:sz w:val="28"/>
                <w:szCs w:val="28"/>
              </w:rPr>
            </w:pPr>
            <w:r>
              <w:rPr>
                <w:rFonts w:hint="eastAsia" w:ascii="Times New Roman" w:hAnsi="Times New Roman"/>
                <w:sz w:val="28"/>
                <w:szCs w:val="28"/>
                <w:lang w:val="en-US" w:eastAsia="zh-CN"/>
              </w:rPr>
              <w:t>4.6-4.12</w:t>
            </w:r>
          </w:p>
        </w:tc>
        <w:tc>
          <w:tcPr>
            <w:tcW w:w="3671" w:type="dxa"/>
            <w:vAlign w:val="center"/>
          </w:tcPr>
          <w:p w14:paraId="26CE2970">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倾斜角、斜率</w:t>
            </w:r>
          </w:p>
          <w:p w14:paraId="3D308F04">
            <w:pPr>
              <w:spacing w:line="400" w:lineRule="exact"/>
              <w:jc w:val="center"/>
              <w:rPr>
                <w:rFonts w:hint="default" w:ascii="Times New Roman" w:hAnsi="Times New Roman"/>
                <w:sz w:val="24"/>
                <w:szCs w:val="24"/>
                <w:lang w:val="en-US" w:eastAsia="zh-CN"/>
              </w:rPr>
            </w:pPr>
            <w:r>
              <w:rPr>
                <w:rFonts w:hint="default" w:ascii="Times New Roman" w:hAnsi="Times New Roman" w:eastAsia="宋体" w:cs="Times New Roman"/>
                <w:b w:val="0"/>
                <w:bCs/>
                <w:color w:val="auto"/>
                <w:sz w:val="24"/>
                <w:szCs w:val="24"/>
                <w:lang w:val="en-US" w:eastAsia="zh-CN"/>
              </w:rPr>
              <w:t>两条直线平行和垂直的判定</w:t>
            </w:r>
          </w:p>
        </w:tc>
        <w:tc>
          <w:tcPr>
            <w:tcW w:w="3558" w:type="dxa"/>
            <w:vAlign w:val="center"/>
          </w:tcPr>
          <w:p w14:paraId="4E186236">
            <w:pPr>
              <w:spacing w:line="400" w:lineRule="exact"/>
              <w:jc w:val="left"/>
              <w:rPr>
                <w:rFonts w:hint="eastAsia" w:ascii="Times New Roman" w:hAnsi="Times New Roman" w:eastAsia="宋体"/>
                <w:sz w:val="24"/>
                <w:szCs w:val="24"/>
                <w:lang w:val="en-US" w:eastAsia="zh-CN"/>
              </w:rPr>
            </w:pPr>
            <w:r>
              <w:rPr>
                <w:rFonts w:ascii="宋体" w:hAnsi="宋体" w:eastAsia="宋体" w:cs="宋体"/>
                <w:sz w:val="24"/>
                <w:szCs w:val="24"/>
              </w:rPr>
              <w:t>直线的倾斜角和斜率的概念，过两点的直线斜率公式</w:t>
            </w:r>
            <w:r>
              <w:rPr>
                <w:rFonts w:hint="eastAsia" w:ascii="宋体" w:hAnsi="宋体" w:eastAsia="宋体" w:cs="宋体"/>
                <w:sz w:val="24"/>
                <w:szCs w:val="24"/>
                <w:lang w:eastAsia="zh-CN"/>
              </w:rPr>
              <w:t>；</w:t>
            </w:r>
            <w:r>
              <w:rPr>
                <w:rFonts w:hint="eastAsia" w:ascii="宋体" w:hAnsi="宋体" w:eastAsia="宋体" w:cs="宋体"/>
                <w:b w:val="0"/>
                <w:bCs/>
                <w:color w:val="auto"/>
                <w:kern w:val="24"/>
                <w:sz w:val="24"/>
                <w:szCs w:val="24"/>
              </w:rPr>
              <w:t>两条直线平行与垂直的</w:t>
            </w:r>
            <w:r>
              <w:rPr>
                <w:rFonts w:hint="eastAsia" w:ascii="宋体" w:hAnsi="宋体" w:eastAsia="宋体" w:cs="宋体"/>
                <w:b w:val="0"/>
                <w:bCs/>
                <w:color w:val="auto"/>
                <w:kern w:val="24"/>
                <w:sz w:val="24"/>
                <w:szCs w:val="24"/>
                <w:lang w:eastAsia="zh-CN"/>
              </w:rPr>
              <w:t>判断</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ascii="Times New Roman" w:hAnsi="Times New Roman"/>
                <w:sz w:val="28"/>
                <w:szCs w:val="28"/>
              </w:rPr>
            </w:pPr>
            <w:r>
              <w:rPr>
                <w:rFonts w:hint="eastAsia" w:ascii="Times New Roman" w:hAnsi="Times New Roman"/>
                <w:sz w:val="28"/>
                <w:szCs w:val="28"/>
                <w:lang w:val="en-US" w:eastAsia="zh-CN"/>
              </w:rPr>
              <w:t>4.13-4.19</w:t>
            </w:r>
          </w:p>
        </w:tc>
        <w:tc>
          <w:tcPr>
            <w:tcW w:w="3671" w:type="dxa"/>
            <w:vAlign w:val="center"/>
          </w:tcPr>
          <w:p w14:paraId="726141A9">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直线的五种方程（一）</w:t>
            </w:r>
          </w:p>
        </w:tc>
        <w:tc>
          <w:tcPr>
            <w:tcW w:w="3558" w:type="dxa"/>
            <w:vAlign w:val="center"/>
          </w:tcPr>
          <w:p w14:paraId="1820F6AB">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点斜式、斜截式、两点式</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ascii="Times New Roman" w:hAnsi="Times New Roman"/>
                <w:sz w:val="28"/>
                <w:szCs w:val="28"/>
              </w:rPr>
            </w:pPr>
            <w:r>
              <w:rPr>
                <w:rFonts w:hint="eastAsia" w:ascii="Times New Roman" w:hAnsi="Times New Roman"/>
                <w:sz w:val="28"/>
                <w:szCs w:val="28"/>
                <w:lang w:val="en-US" w:eastAsia="zh-CN"/>
              </w:rPr>
              <w:t>4.20-4.26</w:t>
            </w:r>
          </w:p>
        </w:tc>
        <w:tc>
          <w:tcPr>
            <w:tcW w:w="3671" w:type="dxa"/>
            <w:vAlign w:val="center"/>
          </w:tcPr>
          <w:p w14:paraId="53A01CCE">
            <w:pPr>
              <w:spacing w:line="400" w:lineRule="exact"/>
              <w:ind w:firstLine="480" w:firstLineChars="200"/>
              <w:jc w:val="left"/>
              <w:rPr>
                <w:rFonts w:hint="default" w:ascii="Times New Roman" w:hAnsi="Times New Roman"/>
                <w:sz w:val="24"/>
                <w:szCs w:val="24"/>
                <w:lang w:val="en-US" w:eastAsia="zh-CN"/>
              </w:rPr>
            </w:pPr>
            <w:r>
              <w:rPr>
                <w:rFonts w:hint="eastAsia" w:ascii="Times New Roman" w:hAnsi="Times New Roman"/>
                <w:sz w:val="24"/>
                <w:szCs w:val="24"/>
                <w:lang w:val="en-US" w:eastAsia="zh-CN"/>
              </w:rPr>
              <w:t>直线的五种方程（二）</w:t>
            </w:r>
          </w:p>
        </w:tc>
        <w:tc>
          <w:tcPr>
            <w:tcW w:w="3558" w:type="dxa"/>
            <w:vAlign w:val="center"/>
          </w:tcPr>
          <w:p w14:paraId="4C9C0C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两点式，截距式，一般方程</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ascii="Times New Roman" w:hAnsi="Times New Roman"/>
                <w:sz w:val="28"/>
                <w:szCs w:val="28"/>
              </w:rPr>
            </w:pPr>
            <w:r>
              <w:rPr>
                <w:rFonts w:hint="eastAsia" w:ascii="Times New Roman" w:hAnsi="Times New Roman"/>
                <w:sz w:val="28"/>
                <w:szCs w:val="28"/>
                <w:lang w:val="en-US" w:eastAsia="zh-CN"/>
              </w:rPr>
              <w:t>4.27-5.3</w:t>
            </w:r>
          </w:p>
        </w:tc>
        <w:tc>
          <w:tcPr>
            <w:tcW w:w="3671" w:type="dxa"/>
            <w:vAlign w:val="center"/>
          </w:tcPr>
          <w:p w14:paraId="732DEC24">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期中考试 </w:t>
            </w:r>
          </w:p>
        </w:tc>
        <w:tc>
          <w:tcPr>
            <w:tcW w:w="3558" w:type="dxa"/>
            <w:vAlign w:val="center"/>
          </w:tcPr>
          <w:p w14:paraId="43C90D0D">
            <w:pPr>
              <w:spacing w:line="400" w:lineRule="exact"/>
              <w:jc w:val="left"/>
              <w:rPr>
                <w:rFonts w:hint="default" w:ascii="Times New Roman" w:hAnsi="Times New Roman"/>
                <w:sz w:val="24"/>
                <w:szCs w:val="24"/>
                <w:lang w:val="en-US"/>
              </w:rPr>
            </w:pPr>
            <w:r>
              <w:rPr>
                <w:rFonts w:hint="eastAsia" w:ascii="Times New Roman" w:hAnsi="Times New Roman"/>
                <w:sz w:val="24"/>
                <w:szCs w:val="24"/>
                <w:lang w:val="en-US" w:eastAsia="zh-CN"/>
              </w:rPr>
              <w:t>期中考试</w:t>
            </w:r>
          </w:p>
        </w:tc>
        <w:tc>
          <w:tcPr>
            <w:tcW w:w="498" w:type="dxa"/>
            <w:vAlign w:val="center"/>
          </w:tcPr>
          <w:p w14:paraId="13067BD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ascii="Times New Roman" w:hAnsi="Times New Roman"/>
                <w:sz w:val="28"/>
                <w:szCs w:val="28"/>
              </w:rPr>
            </w:pPr>
            <w:r>
              <w:rPr>
                <w:rFonts w:hint="eastAsia" w:ascii="Times New Roman" w:hAnsi="Times New Roman"/>
                <w:sz w:val="28"/>
                <w:szCs w:val="28"/>
                <w:lang w:val="en-US" w:eastAsia="zh-CN"/>
              </w:rPr>
              <w:t>5.4-5.10</w:t>
            </w:r>
          </w:p>
        </w:tc>
        <w:tc>
          <w:tcPr>
            <w:tcW w:w="3671" w:type="dxa"/>
            <w:vAlign w:val="center"/>
          </w:tcPr>
          <w:p w14:paraId="238684F3">
            <w:pPr>
              <w:spacing w:line="400" w:lineRule="exact"/>
              <w:jc w:val="center"/>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lang w:eastAsia="zh-CN"/>
                <w14:textFill>
                  <w14:solidFill>
                    <w14:schemeClr w14:val="tx1"/>
                  </w14:solidFill>
                </w14:textFill>
              </w:rPr>
              <w:t>技巧应用，</w:t>
            </w:r>
            <w:r>
              <w:rPr>
                <w:rFonts w:hint="eastAsia" w:ascii="宋体" w:hAnsi="宋体" w:eastAsia="宋体" w:cs="宋体"/>
                <w:b w:val="0"/>
                <w:bCs w:val="0"/>
                <w:color w:val="000000" w:themeColor="text1"/>
                <w:sz w:val="24"/>
                <w:szCs w:val="24"/>
                <w14:textFill>
                  <w14:solidFill>
                    <w14:schemeClr w14:val="tx1"/>
                  </w14:solidFill>
                </w14:textFill>
              </w:rPr>
              <w:t>两条直线的交点坐标</w:t>
            </w:r>
          </w:p>
        </w:tc>
        <w:tc>
          <w:tcPr>
            <w:tcW w:w="3558" w:type="dxa"/>
            <w:vAlign w:val="center"/>
          </w:tcPr>
          <w:p w14:paraId="7AA72CB9">
            <w:pPr>
              <w:spacing w:line="400" w:lineRule="exact"/>
              <w:jc w:val="left"/>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14:textFill>
                  <w14:solidFill>
                    <w14:schemeClr w14:val="tx1"/>
                  </w14:solidFill>
                </w14:textFill>
              </w:rPr>
              <w:t>两条直线的交点坐标</w:t>
            </w:r>
            <w:r>
              <w:rPr>
                <w:rFonts w:hint="eastAsia" w:ascii="宋体" w:hAnsi="宋体" w:eastAsia="宋体" w:cs="宋体"/>
                <w:b w:val="0"/>
                <w:bCs w:val="0"/>
                <w:color w:val="000000" w:themeColor="text1"/>
                <w:sz w:val="24"/>
                <w:szCs w:val="24"/>
                <w:lang w:eastAsia="zh-CN"/>
                <w14:textFill>
                  <w14:solidFill>
                    <w14:schemeClr w14:val="tx1"/>
                  </w14:solidFill>
                </w14:textFill>
              </w:rPr>
              <w:t>，平行系、垂直系直线方程</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sz w:val="28"/>
                <w:szCs w:val="28"/>
                <w:lang w:val="en-US"/>
              </w:rPr>
            </w:pPr>
            <w:r>
              <w:rPr>
                <w:rFonts w:hint="eastAsia" w:ascii="Times New Roman" w:hAnsi="Times New Roman"/>
                <w:sz w:val="28"/>
                <w:szCs w:val="28"/>
                <w:lang w:val="en-US" w:eastAsia="zh-CN"/>
              </w:rPr>
              <w:t>5.11-5.17</w:t>
            </w:r>
          </w:p>
        </w:tc>
        <w:tc>
          <w:tcPr>
            <w:tcW w:w="3671" w:type="dxa"/>
            <w:vAlign w:val="center"/>
          </w:tcPr>
          <w:p w14:paraId="5E9A68BA">
            <w:pPr>
              <w:spacing w:line="400" w:lineRule="exact"/>
              <w:jc w:val="left"/>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3558" w:type="dxa"/>
            <w:vAlign w:val="center"/>
          </w:tcPr>
          <w:p w14:paraId="64B08035">
            <w:pPr>
              <w:spacing w:line="400" w:lineRule="exact"/>
              <w:jc w:val="center"/>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vAlign w:val="center"/>
          </w:tcPr>
          <w:p w14:paraId="78CA2DE7">
            <w:pPr>
              <w:jc w:val="center"/>
              <w:rPr>
                <w:rFonts w:ascii="Times New Roman" w:hAnsi="Times New Roman"/>
                <w:sz w:val="28"/>
                <w:szCs w:val="28"/>
              </w:rPr>
            </w:pPr>
            <w:r>
              <w:rPr>
                <w:rFonts w:hint="eastAsia" w:ascii="Times New Roman" w:hAnsi="Times New Roman"/>
                <w:sz w:val="28"/>
                <w:szCs w:val="28"/>
                <w:lang w:val="en-US" w:eastAsia="zh-CN"/>
              </w:rPr>
              <w:t>5.18-5.24</w:t>
            </w:r>
          </w:p>
        </w:tc>
        <w:tc>
          <w:tcPr>
            <w:tcW w:w="3671" w:type="dxa"/>
            <w:vAlign w:val="center"/>
          </w:tcPr>
          <w:p w14:paraId="7F4FE150">
            <w:pPr>
              <w:spacing w:line="40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圆的一般方程</w:t>
            </w:r>
          </w:p>
          <w:p w14:paraId="5D04CB6D">
            <w:pPr>
              <w:spacing w:line="400" w:lineRule="exact"/>
              <w:jc w:val="center"/>
              <w:rPr>
                <w:rFonts w:hint="default" w:ascii="宋体" w:hAnsi="宋体" w:eastAsia="宋体"/>
                <w:sz w:val="24"/>
                <w:szCs w:val="24"/>
                <w:lang w:val="en-US" w:eastAsia="zh-CN"/>
              </w:rPr>
            </w:pPr>
            <w:r>
              <w:rPr>
                <w:rFonts w:ascii="Times New Roman" w:hAnsi="Times New Roman"/>
                <w:sz w:val="24"/>
                <w:szCs w:val="24"/>
              </w:rPr>
              <w:t>直线与圆的位置关系</w:t>
            </w:r>
          </w:p>
        </w:tc>
        <w:tc>
          <w:tcPr>
            <w:tcW w:w="3558" w:type="dxa"/>
            <w:vAlign w:val="center"/>
          </w:tcPr>
          <w:p w14:paraId="3683B791">
            <w:pPr>
              <w:spacing w:line="400" w:lineRule="exact"/>
              <w:jc w:val="left"/>
              <w:rPr>
                <w:rFonts w:ascii="Times New Roman" w:hAnsi="Times New Roman"/>
                <w:sz w:val="24"/>
                <w:szCs w:val="24"/>
              </w:rPr>
            </w:pPr>
            <w:r>
              <w:rPr>
                <w:rFonts w:hint="eastAsia" w:ascii="宋体" w:hAnsi="宋体" w:eastAsia="宋体" w:cs="宋体"/>
                <w:kern w:val="24"/>
                <w:sz w:val="24"/>
                <w:szCs w:val="24"/>
                <w:lang w:eastAsia="zh-CN"/>
              </w:rPr>
              <w:t>圆的一般方程，</w:t>
            </w:r>
            <w:r>
              <w:rPr>
                <w:rFonts w:ascii="Times New Roman" w:hAnsi="Times New Roman"/>
                <w:sz w:val="24"/>
                <w:szCs w:val="24"/>
              </w:rPr>
              <w:t>直线与圆的位置关系</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0B10C9A3">
            <w:pPr>
              <w:jc w:val="center"/>
              <w:rPr>
                <w:rFonts w:ascii="Times New Roman" w:hAnsi="Times New Roman"/>
                <w:sz w:val="28"/>
                <w:szCs w:val="28"/>
              </w:rPr>
            </w:pPr>
            <w:r>
              <w:rPr>
                <w:rFonts w:hint="eastAsia" w:ascii="Times New Roman" w:hAnsi="Times New Roman"/>
                <w:sz w:val="28"/>
                <w:szCs w:val="28"/>
                <w:lang w:val="en-US" w:eastAsia="zh-CN"/>
              </w:rPr>
              <w:t>5.25-5.31</w:t>
            </w:r>
          </w:p>
        </w:tc>
        <w:tc>
          <w:tcPr>
            <w:tcW w:w="3671" w:type="dxa"/>
            <w:vAlign w:val="center"/>
          </w:tcPr>
          <w:p w14:paraId="1E141A9B">
            <w:pPr>
              <w:spacing w:line="400" w:lineRule="exact"/>
              <w:jc w:val="center"/>
              <w:rPr>
                <w:rFonts w:hint="default" w:ascii="Times New Roman" w:hAnsi="Times New Roman"/>
                <w:sz w:val="24"/>
                <w:szCs w:val="24"/>
                <w:lang w:val="en-US"/>
              </w:rPr>
            </w:pPr>
            <w:r>
              <w:rPr>
                <w:rFonts w:hint="eastAsia" w:ascii="宋体" w:hAnsi="宋体" w:eastAsia="宋体"/>
                <w:sz w:val="24"/>
                <w:szCs w:val="24"/>
                <w:lang w:val="en-US" w:eastAsia="zh-CN"/>
              </w:rPr>
              <w:t>直线圆位置关系应用</w:t>
            </w:r>
          </w:p>
        </w:tc>
        <w:tc>
          <w:tcPr>
            <w:tcW w:w="3558" w:type="dxa"/>
            <w:vAlign w:val="center"/>
          </w:tcPr>
          <w:p w14:paraId="044D5C1E">
            <w:pPr>
              <w:spacing w:line="400" w:lineRule="exact"/>
              <w:jc w:val="left"/>
              <w:rPr>
                <w:rFonts w:hint="default" w:ascii="Times New Roman" w:hAnsi="Times New Roman"/>
                <w:sz w:val="24"/>
                <w:szCs w:val="24"/>
                <w:lang w:val="en-US"/>
              </w:rPr>
            </w:pPr>
            <w:r>
              <w:rPr>
                <w:rFonts w:ascii="Times New Roman" w:hAnsi="Times New Roman" w:cs="Times New Roman"/>
                <w:sz w:val="24"/>
                <w:szCs w:val="24"/>
              </w:rPr>
              <w:t>直线与圆有相交、相切、相离</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11164E87">
            <w:pPr>
              <w:jc w:val="center"/>
              <w:rPr>
                <w:rFonts w:ascii="Times New Roman" w:hAnsi="Times New Roman"/>
                <w:sz w:val="28"/>
                <w:szCs w:val="28"/>
              </w:rPr>
            </w:pPr>
            <w:r>
              <w:rPr>
                <w:rFonts w:hint="eastAsia" w:ascii="Times New Roman" w:hAnsi="Times New Roman"/>
                <w:sz w:val="28"/>
                <w:szCs w:val="28"/>
                <w:lang w:val="en-US" w:eastAsia="zh-CN"/>
              </w:rPr>
              <w:t>6.1-6.7</w:t>
            </w:r>
          </w:p>
        </w:tc>
        <w:tc>
          <w:tcPr>
            <w:tcW w:w="3671" w:type="dxa"/>
            <w:vAlign w:val="center"/>
          </w:tcPr>
          <w:p w14:paraId="1FCF55FB">
            <w:pPr>
              <w:spacing w:line="400" w:lineRule="exact"/>
              <w:jc w:val="center"/>
              <w:rPr>
                <w:rFonts w:ascii="Times New Roman" w:hAnsi="Times New Roman"/>
                <w:sz w:val="24"/>
                <w:szCs w:val="24"/>
              </w:rPr>
            </w:pPr>
            <w:r>
              <w:rPr>
                <w:rFonts w:hint="eastAsia" w:ascii="宋体" w:hAnsi="宋体"/>
                <w:sz w:val="24"/>
                <w:szCs w:val="24"/>
                <w:lang w:val="en-US" w:eastAsia="zh-CN"/>
              </w:rPr>
              <w:t>圆与圆位置关系</w:t>
            </w:r>
          </w:p>
        </w:tc>
        <w:tc>
          <w:tcPr>
            <w:tcW w:w="3558" w:type="dxa"/>
            <w:vAlign w:val="center"/>
          </w:tcPr>
          <w:p w14:paraId="702235DA">
            <w:pPr>
              <w:spacing w:line="400" w:lineRule="exact"/>
              <w:jc w:val="left"/>
              <w:rPr>
                <w:rFonts w:ascii="Times New Roman" w:hAnsi="Times New Roman"/>
                <w:sz w:val="24"/>
                <w:szCs w:val="24"/>
              </w:rPr>
            </w:pPr>
            <w:r>
              <w:rPr>
                <w:rFonts w:hint="default" w:ascii="Times New Roman" w:hAnsi="Times New Roman" w:eastAsia="宋体" w:cs="Times New Roman"/>
                <w:color w:val="000000" w:themeColor="text1"/>
                <w:kern w:val="24"/>
                <w:sz w:val="24"/>
                <w:szCs w:val="24"/>
                <w14:textFill>
                  <w14:solidFill>
                    <w14:schemeClr w14:val="tx1"/>
                  </w14:solidFill>
                </w14:textFill>
              </w:rPr>
              <w:t>圆与圆的</w:t>
            </w:r>
            <w:r>
              <w:rPr>
                <w:rFonts w:hint="eastAsia" w:ascii="Times New Roman" w:hAnsi="Times New Roman" w:eastAsia="宋体" w:cs="Times New Roman"/>
                <w:color w:val="000000" w:themeColor="text1"/>
                <w:kern w:val="24"/>
                <w:sz w:val="24"/>
                <w:szCs w:val="24"/>
                <w:lang w:eastAsia="zh-CN"/>
                <w14:textFill>
                  <w14:solidFill>
                    <w14:schemeClr w14:val="tx1"/>
                  </w14:solidFill>
                </w14:textFill>
              </w:rPr>
              <w:t>五种</w:t>
            </w:r>
            <w:r>
              <w:rPr>
                <w:rFonts w:hint="default" w:ascii="Times New Roman" w:hAnsi="Times New Roman" w:eastAsia="宋体" w:cs="Times New Roman"/>
                <w:color w:val="000000" w:themeColor="text1"/>
                <w:kern w:val="24"/>
                <w:sz w:val="24"/>
                <w:szCs w:val="24"/>
                <w14:textFill>
                  <w14:solidFill>
                    <w14:schemeClr w14:val="tx1"/>
                  </w14:solidFill>
                </w14:textFill>
              </w:rPr>
              <w:t>位置关系</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2798C0D3">
            <w:pPr>
              <w:jc w:val="center"/>
              <w:rPr>
                <w:rFonts w:ascii="Times New Roman" w:hAnsi="Times New Roman"/>
                <w:sz w:val="28"/>
                <w:szCs w:val="28"/>
              </w:rPr>
            </w:pPr>
            <w:r>
              <w:rPr>
                <w:rFonts w:hint="eastAsia" w:ascii="Times New Roman" w:hAnsi="Times New Roman"/>
                <w:sz w:val="28"/>
                <w:szCs w:val="28"/>
                <w:lang w:val="en-US" w:eastAsia="zh-CN"/>
              </w:rPr>
              <w:t>6.8-6.14</w:t>
            </w:r>
          </w:p>
        </w:tc>
        <w:tc>
          <w:tcPr>
            <w:tcW w:w="3671" w:type="dxa"/>
            <w:vAlign w:val="center"/>
          </w:tcPr>
          <w:p w14:paraId="2A2A1C05">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椭圆标准方程</w:t>
            </w:r>
          </w:p>
        </w:tc>
        <w:tc>
          <w:tcPr>
            <w:tcW w:w="3558" w:type="dxa"/>
            <w:vAlign w:val="center"/>
          </w:tcPr>
          <w:p w14:paraId="2C81BC97">
            <w:pPr>
              <w:spacing w:line="400" w:lineRule="exact"/>
              <w:jc w:val="left"/>
              <w:rPr>
                <w:rFonts w:ascii="Times New Roman" w:hAnsi="Times New Roman"/>
                <w:sz w:val="24"/>
                <w:szCs w:val="24"/>
              </w:rPr>
            </w:pPr>
            <w:r>
              <w:rPr>
                <w:rFonts w:hint="eastAsia" w:ascii="Times New Roman" w:hAnsi="Times New Roman"/>
                <w:sz w:val="24"/>
                <w:szCs w:val="24"/>
                <w:lang w:val="en-US" w:eastAsia="zh-CN"/>
              </w:rPr>
              <w:t>椭圆标准方程，椭圆简单几何意义</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282BF22F">
            <w:pPr>
              <w:jc w:val="center"/>
              <w:rPr>
                <w:rFonts w:ascii="Times New Roman" w:hAnsi="Times New Roman"/>
                <w:sz w:val="28"/>
                <w:szCs w:val="28"/>
              </w:rPr>
            </w:pPr>
            <w:r>
              <w:rPr>
                <w:rFonts w:hint="eastAsia" w:ascii="Times New Roman" w:hAnsi="Times New Roman"/>
                <w:sz w:val="28"/>
                <w:szCs w:val="28"/>
                <w:lang w:val="en-US" w:eastAsia="zh-CN"/>
              </w:rPr>
              <w:t>6.15-6.21</w:t>
            </w:r>
          </w:p>
        </w:tc>
        <w:tc>
          <w:tcPr>
            <w:tcW w:w="3671" w:type="dxa"/>
            <w:vAlign w:val="center"/>
          </w:tcPr>
          <w:p w14:paraId="38F6C313">
            <w:pPr>
              <w:spacing w:line="400" w:lineRule="exact"/>
              <w:ind w:firstLine="960" w:firstLineChars="400"/>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w:t>
            </w:r>
          </w:p>
        </w:tc>
        <w:tc>
          <w:tcPr>
            <w:tcW w:w="3558" w:type="dxa"/>
            <w:vAlign w:val="center"/>
          </w:tcPr>
          <w:p w14:paraId="6DA68D1C">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双曲线标准方程，双曲线简单几何意义</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3A9504C4">
            <w:pPr>
              <w:jc w:val="center"/>
              <w:rPr>
                <w:rFonts w:ascii="Times New Roman" w:hAnsi="Times New Roman"/>
                <w:sz w:val="28"/>
                <w:szCs w:val="28"/>
              </w:rPr>
            </w:pPr>
            <w:r>
              <w:rPr>
                <w:rFonts w:hint="eastAsia" w:ascii="Times New Roman" w:hAnsi="Times New Roman"/>
                <w:sz w:val="28"/>
                <w:szCs w:val="28"/>
                <w:lang w:val="en-US" w:eastAsia="zh-CN"/>
              </w:rPr>
              <w:t>6.22-6.28</w:t>
            </w:r>
          </w:p>
        </w:tc>
        <w:tc>
          <w:tcPr>
            <w:tcW w:w="3671" w:type="dxa"/>
            <w:vAlign w:val="center"/>
          </w:tcPr>
          <w:p w14:paraId="01E4AED8">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w:t>
            </w:r>
          </w:p>
        </w:tc>
        <w:tc>
          <w:tcPr>
            <w:tcW w:w="3558" w:type="dxa"/>
            <w:vAlign w:val="center"/>
          </w:tcPr>
          <w:p w14:paraId="3D144D91">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抛物线标准方程，抛物线简单几何意义</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1A8E1A47">
            <w:pPr>
              <w:jc w:val="center"/>
              <w:rPr>
                <w:rFonts w:ascii="Times New Roman" w:hAnsi="Times New Roman"/>
                <w:sz w:val="28"/>
                <w:szCs w:val="28"/>
              </w:rPr>
            </w:pPr>
            <w:r>
              <w:rPr>
                <w:rFonts w:hint="eastAsia" w:ascii="Times New Roman" w:hAnsi="Times New Roman"/>
                <w:sz w:val="28"/>
                <w:szCs w:val="28"/>
                <w:lang w:val="en-US" w:eastAsia="zh-CN"/>
              </w:rPr>
              <w:t>6.29-7.5</w:t>
            </w:r>
          </w:p>
        </w:tc>
        <w:tc>
          <w:tcPr>
            <w:tcW w:w="3671" w:type="dxa"/>
            <w:vAlign w:val="center"/>
          </w:tcPr>
          <w:p w14:paraId="5892C513">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           数列</w:t>
            </w:r>
          </w:p>
        </w:tc>
        <w:tc>
          <w:tcPr>
            <w:tcW w:w="3558" w:type="dxa"/>
            <w:vAlign w:val="center"/>
          </w:tcPr>
          <w:p w14:paraId="119F407C">
            <w:pPr>
              <w:spacing w:line="400" w:lineRule="exact"/>
              <w:jc w:val="left"/>
              <w:rPr>
                <w:rFonts w:hint="default" w:ascii="Times New Roman" w:hAnsi="Times New Roman" w:eastAsiaTheme="minorEastAsia"/>
                <w:sz w:val="24"/>
                <w:szCs w:val="24"/>
                <w:lang w:val="en-US" w:eastAsia="zh-CN"/>
              </w:rPr>
            </w:pPr>
            <w:r>
              <w:rPr>
                <w:rFonts w:hint="eastAsia" w:ascii="宋体" w:hAnsi="宋体"/>
                <w:bCs/>
                <w:sz w:val="24"/>
              </w:rPr>
              <w:t>数列的定义和一般形式</w:t>
            </w: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A19CC3F">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7ABD86DE">
            <w:pPr>
              <w:jc w:val="center"/>
              <w:rPr>
                <w:rFonts w:hint="default" w:ascii="Times New Roman" w:hAnsi="Times New Roman"/>
                <w:sz w:val="28"/>
                <w:szCs w:val="28"/>
                <w:lang w:val="en-US"/>
              </w:rPr>
            </w:pPr>
            <w:r>
              <w:rPr>
                <w:rFonts w:hint="eastAsia" w:ascii="Times New Roman" w:hAnsi="Times New Roman"/>
                <w:sz w:val="28"/>
                <w:szCs w:val="28"/>
                <w:lang w:val="en-US" w:eastAsia="zh-CN"/>
              </w:rPr>
              <w:t>7.6-7.12</w:t>
            </w:r>
          </w:p>
        </w:tc>
        <w:tc>
          <w:tcPr>
            <w:tcW w:w="3671" w:type="dxa"/>
            <w:vAlign w:val="center"/>
          </w:tcPr>
          <w:p w14:paraId="2689D8EF">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期末考试</w:t>
            </w:r>
          </w:p>
        </w:tc>
        <w:tc>
          <w:tcPr>
            <w:tcW w:w="3558" w:type="dxa"/>
            <w:vAlign w:val="center"/>
          </w:tcPr>
          <w:p w14:paraId="1E4EE141">
            <w:pPr>
              <w:spacing w:line="400" w:lineRule="exact"/>
              <w:jc w:val="left"/>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期末考试</w:t>
            </w:r>
          </w:p>
        </w:tc>
        <w:tc>
          <w:tcPr>
            <w:tcW w:w="498" w:type="dxa"/>
            <w:vAlign w:val="center"/>
          </w:tcPr>
          <w:p w14:paraId="53243F1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bl>
    <w:p w14:paraId="3848D531">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script"/>
    <w:pitch w:val="default"/>
    <w:sig w:usb0="00000000" w:usb1="00000000" w:usb2="00000012"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NDNkYWM4NTEwN2Y3OGViODcxMDdiN2ZkNjQwOTkifQ=="/>
  </w:docVars>
  <w:rsids>
    <w:rsidRoot w:val="004F713E"/>
    <w:rsid w:val="0010401F"/>
    <w:rsid w:val="001A2968"/>
    <w:rsid w:val="004F713E"/>
    <w:rsid w:val="005B1E69"/>
    <w:rsid w:val="006D40A1"/>
    <w:rsid w:val="00705E0A"/>
    <w:rsid w:val="009152AC"/>
    <w:rsid w:val="00B02BB7"/>
    <w:rsid w:val="00F5669D"/>
    <w:rsid w:val="013A37BE"/>
    <w:rsid w:val="015B7D34"/>
    <w:rsid w:val="017165B7"/>
    <w:rsid w:val="020C4532"/>
    <w:rsid w:val="03555A65"/>
    <w:rsid w:val="03C23463"/>
    <w:rsid w:val="04185410"/>
    <w:rsid w:val="04956A61"/>
    <w:rsid w:val="05DB66F5"/>
    <w:rsid w:val="064C314F"/>
    <w:rsid w:val="06D03D80"/>
    <w:rsid w:val="07F7358F"/>
    <w:rsid w:val="08314CF2"/>
    <w:rsid w:val="08A211D8"/>
    <w:rsid w:val="0A0C1573"/>
    <w:rsid w:val="0A500DA8"/>
    <w:rsid w:val="0BA47589"/>
    <w:rsid w:val="0CFF716D"/>
    <w:rsid w:val="0D645222"/>
    <w:rsid w:val="0D8D29CB"/>
    <w:rsid w:val="0DD201F4"/>
    <w:rsid w:val="0E8518F4"/>
    <w:rsid w:val="10F863AD"/>
    <w:rsid w:val="111B209C"/>
    <w:rsid w:val="12D93FBD"/>
    <w:rsid w:val="140E10F5"/>
    <w:rsid w:val="14F96B98"/>
    <w:rsid w:val="151237B6"/>
    <w:rsid w:val="161A0B74"/>
    <w:rsid w:val="16D927DD"/>
    <w:rsid w:val="17CA0378"/>
    <w:rsid w:val="17DB4333"/>
    <w:rsid w:val="1A587EBD"/>
    <w:rsid w:val="1A6525DA"/>
    <w:rsid w:val="1A9609E5"/>
    <w:rsid w:val="1AEE0821"/>
    <w:rsid w:val="1BED2887"/>
    <w:rsid w:val="1C6A5624"/>
    <w:rsid w:val="1D5F1562"/>
    <w:rsid w:val="1D8B05A9"/>
    <w:rsid w:val="1DC064A5"/>
    <w:rsid w:val="1E004AF3"/>
    <w:rsid w:val="1E205195"/>
    <w:rsid w:val="1E480248"/>
    <w:rsid w:val="207962DA"/>
    <w:rsid w:val="21E32762"/>
    <w:rsid w:val="21FC3824"/>
    <w:rsid w:val="220646A2"/>
    <w:rsid w:val="256911D0"/>
    <w:rsid w:val="26325A66"/>
    <w:rsid w:val="27165388"/>
    <w:rsid w:val="27A83BD7"/>
    <w:rsid w:val="27FA13EB"/>
    <w:rsid w:val="28071119"/>
    <w:rsid w:val="28386D2A"/>
    <w:rsid w:val="28AC5FA3"/>
    <w:rsid w:val="2B12230A"/>
    <w:rsid w:val="2C1F4CDE"/>
    <w:rsid w:val="2C241D3B"/>
    <w:rsid w:val="2D0A773C"/>
    <w:rsid w:val="2E8E7EF9"/>
    <w:rsid w:val="2EA74B17"/>
    <w:rsid w:val="31B45EC9"/>
    <w:rsid w:val="31C500CB"/>
    <w:rsid w:val="323808A8"/>
    <w:rsid w:val="33596D28"/>
    <w:rsid w:val="338B0EAB"/>
    <w:rsid w:val="33945798"/>
    <w:rsid w:val="34070333"/>
    <w:rsid w:val="37661A13"/>
    <w:rsid w:val="38740160"/>
    <w:rsid w:val="389B5520"/>
    <w:rsid w:val="38AF2F46"/>
    <w:rsid w:val="39673821"/>
    <w:rsid w:val="3A18264D"/>
    <w:rsid w:val="3BD827B4"/>
    <w:rsid w:val="3C6C2A49"/>
    <w:rsid w:val="3C834E15"/>
    <w:rsid w:val="3D5642D8"/>
    <w:rsid w:val="3F402B4A"/>
    <w:rsid w:val="4004626D"/>
    <w:rsid w:val="40F736DC"/>
    <w:rsid w:val="412A5860"/>
    <w:rsid w:val="42383FAC"/>
    <w:rsid w:val="426923B8"/>
    <w:rsid w:val="42742855"/>
    <w:rsid w:val="449325D5"/>
    <w:rsid w:val="44C36373"/>
    <w:rsid w:val="455C1AD4"/>
    <w:rsid w:val="458F0387"/>
    <w:rsid w:val="45D6549F"/>
    <w:rsid w:val="46431172"/>
    <w:rsid w:val="468477C0"/>
    <w:rsid w:val="47064679"/>
    <w:rsid w:val="474D674C"/>
    <w:rsid w:val="47523D62"/>
    <w:rsid w:val="47865084"/>
    <w:rsid w:val="478F0B12"/>
    <w:rsid w:val="479E0D55"/>
    <w:rsid w:val="47C87B80"/>
    <w:rsid w:val="484C255F"/>
    <w:rsid w:val="48A91760"/>
    <w:rsid w:val="48C52312"/>
    <w:rsid w:val="48E629B4"/>
    <w:rsid w:val="49861AA1"/>
    <w:rsid w:val="4A347F6C"/>
    <w:rsid w:val="4B6E4EE3"/>
    <w:rsid w:val="4C3752D5"/>
    <w:rsid w:val="4CA26BF2"/>
    <w:rsid w:val="4CE70AA9"/>
    <w:rsid w:val="4D3F2693"/>
    <w:rsid w:val="4D96420E"/>
    <w:rsid w:val="4DE1374A"/>
    <w:rsid w:val="4E830CA5"/>
    <w:rsid w:val="4ECC264C"/>
    <w:rsid w:val="4EE2777A"/>
    <w:rsid w:val="4F9B5B7A"/>
    <w:rsid w:val="50792360"/>
    <w:rsid w:val="51BC0756"/>
    <w:rsid w:val="53E47AF0"/>
    <w:rsid w:val="54684BC5"/>
    <w:rsid w:val="54D77655"/>
    <w:rsid w:val="556E16E9"/>
    <w:rsid w:val="564B654C"/>
    <w:rsid w:val="56AD68BF"/>
    <w:rsid w:val="570B31ED"/>
    <w:rsid w:val="57174680"/>
    <w:rsid w:val="575B0743"/>
    <w:rsid w:val="579E08FE"/>
    <w:rsid w:val="57AC301B"/>
    <w:rsid w:val="581D5E71"/>
    <w:rsid w:val="5952374E"/>
    <w:rsid w:val="59594ADC"/>
    <w:rsid w:val="59C363FA"/>
    <w:rsid w:val="5A2F3A8F"/>
    <w:rsid w:val="5B3255E5"/>
    <w:rsid w:val="5E6456DF"/>
    <w:rsid w:val="5F58342E"/>
    <w:rsid w:val="5F8959EF"/>
    <w:rsid w:val="5FA016B7"/>
    <w:rsid w:val="604779A0"/>
    <w:rsid w:val="60675D31"/>
    <w:rsid w:val="608C1C3B"/>
    <w:rsid w:val="618E5582"/>
    <w:rsid w:val="61ED04B8"/>
    <w:rsid w:val="62E573E1"/>
    <w:rsid w:val="64E831B8"/>
    <w:rsid w:val="65556AA0"/>
    <w:rsid w:val="65736F26"/>
    <w:rsid w:val="659F7D1B"/>
    <w:rsid w:val="65B23EF2"/>
    <w:rsid w:val="65FC33BF"/>
    <w:rsid w:val="66432D9C"/>
    <w:rsid w:val="66F92532"/>
    <w:rsid w:val="67963E06"/>
    <w:rsid w:val="681349F0"/>
    <w:rsid w:val="68525518"/>
    <w:rsid w:val="693F2B16"/>
    <w:rsid w:val="6AF40B09"/>
    <w:rsid w:val="6B080110"/>
    <w:rsid w:val="6C1A6EC9"/>
    <w:rsid w:val="6C663340"/>
    <w:rsid w:val="6D635AD2"/>
    <w:rsid w:val="6DDD7632"/>
    <w:rsid w:val="6FA51132"/>
    <w:rsid w:val="703400E8"/>
    <w:rsid w:val="70D70AFD"/>
    <w:rsid w:val="73426189"/>
    <w:rsid w:val="735E0CB0"/>
    <w:rsid w:val="7395275D"/>
    <w:rsid w:val="73B13A3B"/>
    <w:rsid w:val="73BE7F06"/>
    <w:rsid w:val="745E5245"/>
    <w:rsid w:val="746A5998"/>
    <w:rsid w:val="749414D0"/>
    <w:rsid w:val="74AA72C3"/>
    <w:rsid w:val="752F1C88"/>
    <w:rsid w:val="76BE1FCB"/>
    <w:rsid w:val="76FE0619"/>
    <w:rsid w:val="780B6BB6"/>
    <w:rsid w:val="784A1D68"/>
    <w:rsid w:val="78850FF2"/>
    <w:rsid w:val="79002D6F"/>
    <w:rsid w:val="792B7DEB"/>
    <w:rsid w:val="79B0209F"/>
    <w:rsid w:val="7A0D74F1"/>
    <w:rsid w:val="7A792DD8"/>
    <w:rsid w:val="7AAA11E4"/>
    <w:rsid w:val="7BB120FE"/>
    <w:rsid w:val="7C1C7EBF"/>
    <w:rsid w:val="7CEF2EDE"/>
    <w:rsid w:val="7DF84014"/>
    <w:rsid w:val="7E1370A0"/>
    <w:rsid w:val="7E221091"/>
    <w:rsid w:val="7E4B311E"/>
    <w:rsid w:val="7EA45F4A"/>
    <w:rsid w:val="7F2F0CF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spacing w:line="570" w:lineRule="exact"/>
      <w:ind w:firstLine="880" w:firstLineChars="200"/>
      <w:jc w:val="both"/>
    </w:pPr>
    <w:rPr>
      <w:rFonts w:ascii="方正仿宋简体" w:hAnsi="方正仿宋简体" w:eastAsia="方正仿宋简体" w:cs="方正仿宋简体"/>
      <w:kern w:val="2"/>
      <w:sz w:val="32"/>
      <w:szCs w:val="32"/>
      <w:lang w:val="zh-CN" w:eastAsia="zh-CN" w:bidi="zh-CN"/>
    </w:r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1613</Words>
  <Characters>1778</Characters>
  <Lines>2</Lines>
  <Paragraphs>1</Paragraphs>
  <TotalTime>0</TotalTime>
  <ScaleCrop>false</ScaleCrop>
  <LinksUpToDate>false</LinksUpToDate>
  <CharactersWithSpaces>1791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Administrator</cp:lastModifiedBy>
  <dcterms:modified xsi:type="dcterms:W3CDTF">2026-03-18T04:23:43Z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eyJoZGlkIjoiN2NkZTZiY2NjYWQxY2Y0ZDAzOGExMTJiYTI1N2FlYTMiLCJ1c2VySWQiOiIzMzk5MjY0NDIifQ==</vt:lpwstr>
  </property>
  <property fmtid="{D5CDD505-2E9C-101B-9397-08002B2CF9AE}" pid="4" name="ICV">
    <vt:lpwstr>3860A82C6469415F8435AEEF22CC0F23_12</vt:lpwstr>
  </property>
</Properties>
</file>