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0EC2A">
      <w:pPr>
        <w:jc w:val="center"/>
        <w:rPr>
          <w:rFonts w:ascii="Times New Roman" w:hAnsi="Times New Roman"/>
          <w:b/>
          <w:bCs/>
          <w:sz w:val="44"/>
          <w:szCs w:val="44"/>
        </w:rPr>
      </w:pPr>
      <w:r>
        <w:rPr>
          <w:rFonts w:hint="eastAsia" w:ascii="Times New Roman" w:hAnsi="Times New Roman"/>
          <w:b/>
          <w:bCs/>
          <w:sz w:val="44"/>
          <w:szCs w:val="44"/>
        </w:rPr>
        <w:t>临沂艺术学校</w:t>
      </w:r>
    </w:p>
    <w:p w14:paraId="379D3661">
      <w:pPr>
        <w:jc w:val="center"/>
        <w:rPr>
          <w:rFonts w:ascii="Times New Roman" w:hAnsi="Times New Roman"/>
          <w:b/>
          <w:bCs/>
          <w:sz w:val="44"/>
          <w:szCs w:val="44"/>
        </w:rPr>
      </w:pPr>
      <w:r>
        <w:rPr>
          <w:rFonts w:hint="eastAsia" w:ascii="Times New Roman" w:hAnsi="Times New Roman"/>
          <w:b/>
          <w:bCs/>
          <w:sz w:val="44"/>
          <w:szCs w:val="44"/>
        </w:rPr>
        <w:t>202</w:t>
      </w:r>
      <w:r>
        <w:rPr>
          <w:rFonts w:hint="eastAsia" w:ascii="Times New Roman" w:hAnsi="Times New Roman"/>
          <w:b/>
          <w:bCs/>
          <w:sz w:val="44"/>
          <w:szCs w:val="44"/>
          <w:lang w:val="en-US" w:eastAsia="zh-CN"/>
        </w:rPr>
        <w:t>5</w:t>
      </w:r>
      <w:r>
        <w:rPr>
          <w:rFonts w:hint="eastAsia" w:ascii="Times New Roman" w:hAnsi="Times New Roman"/>
          <w:b/>
          <w:bCs/>
          <w:sz w:val="44"/>
          <w:szCs w:val="44"/>
        </w:rPr>
        <w:t>-202</w:t>
      </w:r>
      <w:r>
        <w:rPr>
          <w:rFonts w:hint="eastAsia" w:ascii="Times New Roman" w:hAnsi="Times New Roman"/>
          <w:b/>
          <w:bCs/>
          <w:sz w:val="44"/>
          <w:szCs w:val="44"/>
          <w:lang w:val="en-US" w:eastAsia="zh-CN"/>
        </w:rPr>
        <w:t>6</w:t>
      </w:r>
      <w:r>
        <w:rPr>
          <w:rFonts w:hint="eastAsia" w:ascii="Times New Roman" w:hAnsi="Times New Roman"/>
          <w:b/>
          <w:bCs/>
          <w:sz w:val="44"/>
          <w:szCs w:val="44"/>
        </w:rPr>
        <w:t>学年第</w:t>
      </w:r>
      <w:r>
        <w:rPr>
          <w:rFonts w:hint="eastAsia" w:ascii="Times New Roman" w:hAnsi="Times New Roman"/>
          <w:b/>
          <w:bCs/>
          <w:sz w:val="44"/>
          <w:szCs w:val="44"/>
          <w:lang w:val="en-US" w:eastAsia="zh-CN"/>
        </w:rPr>
        <w:t>一</w:t>
      </w:r>
      <w:r>
        <w:rPr>
          <w:rFonts w:hint="eastAsia" w:ascii="Times New Roman" w:hAnsi="Times New Roman"/>
          <w:b/>
          <w:bCs/>
          <w:sz w:val="44"/>
          <w:szCs w:val="44"/>
        </w:rPr>
        <w:t>学期课程教学计划</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993"/>
        <w:gridCol w:w="142"/>
        <w:gridCol w:w="656"/>
        <w:gridCol w:w="620"/>
        <w:gridCol w:w="1045"/>
        <w:gridCol w:w="1506"/>
        <w:gridCol w:w="153"/>
        <w:gridCol w:w="832"/>
        <w:gridCol w:w="827"/>
        <w:gridCol w:w="740"/>
        <w:gridCol w:w="923"/>
      </w:tblGrid>
      <w:tr w14:paraId="101E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9F31AA5">
            <w:pPr>
              <w:jc w:val="center"/>
              <w:rPr>
                <w:rFonts w:ascii="Times New Roman" w:hAnsi="Times New Roman"/>
                <w:b/>
                <w:bCs/>
                <w:sz w:val="28"/>
                <w:szCs w:val="28"/>
              </w:rPr>
            </w:pPr>
            <w:r>
              <w:rPr>
                <w:rFonts w:hint="eastAsia" w:ascii="Times New Roman" w:hAnsi="Times New Roman"/>
                <w:b/>
                <w:bCs/>
                <w:sz w:val="28"/>
                <w:szCs w:val="28"/>
              </w:rPr>
              <w:t>课程名称</w:t>
            </w:r>
          </w:p>
        </w:tc>
        <w:tc>
          <w:tcPr>
            <w:tcW w:w="3456" w:type="dxa"/>
            <w:gridSpan w:val="5"/>
            <w:vAlign w:val="center"/>
          </w:tcPr>
          <w:p w14:paraId="6B35351B">
            <w:pPr>
              <w:spacing w:line="360" w:lineRule="exact"/>
              <w:jc w:val="center"/>
              <w:rPr>
                <w:rFonts w:hint="eastAsia" w:ascii="Times New Roman" w:hAnsi="Times New Roman"/>
                <w:sz w:val="28"/>
                <w:szCs w:val="28"/>
                <w:lang w:val="en-US" w:eastAsia="zh-CN"/>
              </w:rPr>
            </w:pPr>
            <w:r>
              <w:rPr>
                <w:rFonts w:hint="eastAsia" w:ascii="Times New Roman" w:hAnsi="Times New Roman"/>
                <w:sz w:val="28"/>
                <w:szCs w:val="28"/>
                <w:lang w:val="en-US" w:eastAsia="zh-CN"/>
              </w:rPr>
              <w:t>高中地理选择性必修二、</w:t>
            </w:r>
          </w:p>
          <w:p w14:paraId="3E51FEBD">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选择性必修三</w:t>
            </w:r>
          </w:p>
        </w:tc>
        <w:tc>
          <w:tcPr>
            <w:tcW w:w="1506" w:type="dxa"/>
            <w:vAlign w:val="center"/>
          </w:tcPr>
          <w:p w14:paraId="6AA6677C">
            <w:pPr>
              <w:jc w:val="center"/>
              <w:rPr>
                <w:rFonts w:ascii="Times New Roman" w:hAnsi="Times New Roman"/>
                <w:b/>
                <w:bCs/>
                <w:sz w:val="28"/>
                <w:szCs w:val="28"/>
              </w:rPr>
            </w:pPr>
            <w:r>
              <w:rPr>
                <w:rFonts w:hint="eastAsia" w:ascii="Times New Roman" w:hAnsi="Times New Roman"/>
                <w:b/>
                <w:bCs/>
                <w:sz w:val="28"/>
                <w:szCs w:val="28"/>
              </w:rPr>
              <w:t>课程类型</w:t>
            </w:r>
          </w:p>
        </w:tc>
        <w:tc>
          <w:tcPr>
            <w:tcW w:w="3475" w:type="dxa"/>
            <w:gridSpan w:val="5"/>
            <w:vAlign w:val="center"/>
          </w:tcPr>
          <w:p w14:paraId="20F2F699">
            <w:pPr>
              <w:spacing w:line="360" w:lineRule="exact"/>
              <w:jc w:val="center"/>
              <w:rPr>
                <w:rFonts w:ascii="Times New Roman" w:hAnsi="Times New Roman"/>
                <w:sz w:val="28"/>
                <w:szCs w:val="28"/>
              </w:rPr>
            </w:pPr>
            <w:r>
              <w:rPr>
                <w:rFonts w:hint="eastAsia" w:ascii="Times New Roman" w:hAnsi="Times New Roman"/>
                <w:sz w:val="28"/>
                <w:szCs w:val="28"/>
                <w:lang w:eastAsia="zh-CN"/>
              </w:rPr>
              <w:t>☑</w:t>
            </w:r>
            <w:r>
              <w:rPr>
                <w:rFonts w:hint="eastAsia" w:ascii="Times New Roman" w:hAnsi="Times New Roman"/>
                <w:sz w:val="28"/>
                <w:szCs w:val="28"/>
              </w:rPr>
              <w:t>理论课□实践课</w:t>
            </w:r>
          </w:p>
          <w:p w14:paraId="0CDCDD30">
            <w:pPr>
              <w:spacing w:line="360" w:lineRule="exact"/>
              <w:jc w:val="center"/>
              <w:rPr>
                <w:rFonts w:ascii="Times New Roman" w:hAnsi="Times New Roman"/>
                <w:sz w:val="28"/>
                <w:szCs w:val="28"/>
              </w:rPr>
            </w:pPr>
            <w:r>
              <w:rPr>
                <w:rFonts w:hint="eastAsia" w:ascii="Times New Roman" w:hAnsi="Times New Roman"/>
                <w:sz w:val="28"/>
                <w:szCs w:val="28"/>
              </w:rPr>
              <w:t>□理论+实践</w:t>
            </w:r>
          </w:p>
        </w:tc>
      </w:tr>
      <w:tr w14:paraId="1CEF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6F8F6A4A">
            <w:pPr>
              <w:jc w:val="center"/>
              <w:rPr>
                <w:rFonts w:ascii="Times New Roman" w:hAnsi="Times New Roman"/>
                <w:b/>
                <w:bCs/>
                <w:sz w:val="28"/>
                <w:szCs w:val="28"/>
              </w:rPr>
            </w:pPr>
            <w:r>
              <w:rPr>
                <w:rFonts w:hint="eastAsia" w:ascii="Times New Roman" w:hAnsi="Times New Roman"/>
                <w:b/>
                <w:bCs/>
                <w:sz w:val="28"/>
                <w:szCs w:val="28"/>
              </w:rPr>
              <w:t>授课教师</w:t>
            </w:r>
          </w:p>
        </w:tc>
        <w:tc>
          <w:tcPr>
            <w:tcW w:w="3456" w:type="dxa"/>
            <w:gridSpan w:val="5"/>
            <w:vAlign w:val="center"/>
          </w:tcPr>
          <w:p w14:paraId="6BED9DF4">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吉金平</w:t>
            </w:r>
          </w:p>
        </w:tc>
        <w:tc>
          <w:tcPr>
            <w:tcW w:w="1506" w:type="dxa"/>
            <w:vAlign w:val="center"/>
          </w:tcPr>
          <w:p w14:paraId="15D18A43">
            <w:pPr>
              <w:jc w:val="center"/>
              <w:rPr>
                <w:rFonts w:ascii="Times New Roman" w:hAnsi="Times New Roman"/>
                <w:b/>
                <w:bCs/>
                <w:sz w:val="28"/>
                <w:szCs w:val="28"/>
              </w:rPr>
            </w:pPr>
            <w:r>
              <w:rPr>
                <w:rFonts w:hint="eastAsia" w:ascii="Times New Roman" w:hAnsi="Times New Roman"/>
                <w:b/>
                <w:bCs/>
                <w:sz w:val="28"/>
                <w:szCs w:val="28"/>
              </w:rPr>
              <w:t>授课对象</w:t>
            </w:r>
          </w:p>
        </w:tc>
        <w:tc>
          <w:tcPr>
            <w:tcW w:w="3475" w:type="dxa"/>
            <w:gridSpan w:val="5"/>
            <w:vAlign w:val="center"/>
          </w:tcPr>
          <w:p w14:paraId="22B1E0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24级夏考班</w:t>
            </w:r>
          </w:p>
        </w:tc>
      </w:tr>
      <w:tr w14:paraId="54F3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0C33C89">
            <w:pPr>
              <w:spacing w:line="360" w:lineRule="exact"/>
              <w:jc w:val="center"/>
              <w:rPr>
                <w:rFonts w:ascii="Times New Roman" w:hAnsi="Times New Roman"/>
                <w:b/>
                <w:bCs/>
                <w:sz w:val="28"/>
                <w:szCs w:val="28"/>
              </w:rPr>
            </w:pPr>
            <w:r>
              <w:rPr>
                <w:rFonts w:hint="eastAsia" w:ascii="Times New Roman" w:hAnsi="Times New Roman"/>
                <w:b/>
                <w:bCs/>
                <w:sz w:val="28"/>
                <w:szCs w:val="28"/>
              </w:rPr>
              <w:t>总学时</w:t>
            </w:r>
          </w:p>
        </w:tc>
        <w:tc>
          <w:tcPr>
            <w:tcW w:w="1135" w:type="dxa"/>
            <w:gridSpan w:val="2"/>
            <w:vAlign w:val="center"/>
          </w:tcPr>
          <w:p w14:paraId="7D9E25A5">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276" w:type="dxa"/>
            <w:gridSpan w:val="2"/>
            <w:vAlign w:val="center"/>
          </w:tcPr>
          <w:p w14:paraId="4CF6237E">
            <w:pPr>
              <w:spacing w:line="360" w:lineRule="exact"/>
              <w:jc w:val="center"/>
              <w:rPr>
                <w:rFonts w:ascii="Times New Roman" w:hAnsi="Times New Roman"/>
                <w:b/>
                <w:bCs/>
                <w:sz w:val="28"/>
                <w:szCs w:val="28"/>
              </w:rPr>
            </w:pPr>
            <w:r>
              <w:rPr>
                <w:rFonts w:hint="eastAsia" w:ascii="Times New Roman" w:hAnsi="Times New Roman"/>
                <w:b/>
                <w:bCs/>
                <w:sz w:val="28"/>
                <w:szCs w:val="28"/>
              </w:rPr>
              <w:t>周学时</w:t>
            </w:r>
          </w:p>
        </w:tc>
        <w:tc>
          <w:tcPr>
            <w:tcW w:w="1045" w:type="dxa"/>
            <w:vAlign w:val="center"/>
          </w:tcPr>
          <w:p w14:paraId="19BC7CCE">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c>
          <w:tcPr>
            <w:tcW w:w="1506" w:type="dxa"/>
            <w:vAlign w:val="center"/>
          </w:tcPr>
          <w:p w14:paraId="2F31EE71">
            <w:pPr>
              <w:spacing w:line="360" w:lineRule="exact"/>
              <w:jc w:val="center"/>
              <w:rPr>
                <w:rFonts w:ascii="Times New Roman" w:hAnsi="Times New Roman"/>
                <w:b/>
                <w:bCs/>
                <w:sz w:val="28"/>
                <w:szCs w:val="28"/>
              </w:rPr>
            </w:pPr>
            <w:r>
              <w:rPr>
                <w:rFonts w:hint="eastAsia" w:ascii="Times New Roman" w:hAnsi="Times New Roman"/>
                <w:b/>
                <w:bCs/>
                <w:sz w:val="28"/>
                <w:szCs w:val="28"/>
              </w:rPr>
              <w:t>理论</w:t>
            </w:r>
          </w:p>
          <w:p w14:paraId="6574DF02">
            <w:pPr>
              <w:spacing w:line="360" w:lineRule="exact"/>
              <w:jc w:val="center"/>
              <w:rPr>
                <w:rFonts w:ascii="Times New Roman" w:hAnsi="Times New Roman"/>
                <w:b/>
                <w:bCs/>
                <w:sz w:val="28"/>
                <w:szCs w:val="28"/>
              </w:rPr>
            </w:pPr>
            <w:r>
              <w:rPr>
                <w:rFonts w:hint="eastAsia" w:ascii="Times New Roman" w:hAnsi="Times New Roman"/>
                <w:b/>
                <w:bCs/>
                <w:sz w:val="28"/>
                <w:szCs w:val="28"/>
              </w:rPr>
              <w:t>学时</w:t>
            </w:r>
          </w:p>
        </w:tc>
        <w:tc>
          <w:tcPr>
            <w:tcW w:w="985" w:type="dxa"/>
            <w:gridSpan w:val="2"/>
            <w:vAlign w:val="center"/>
          </w:tcPr>
          <w:p w14:paraId="215D68F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567" w:type="dxa"/>
            <w:gridSpan w:val="2"/>
            <w:vAlign w:val="center"/>
          </w:tcPr>
          <w:p w14:paraId="5B785B12">
            <w:pPr>
              <w:spacing w:line="360" w:lineRule="exact"/>
              <w:jc w:val="center"/>
              <w:rPr>
                <w:rFonts w:ascii="Times New Roman" w:hAnsi="Times New Roman"/>
                <w:b/>
                <w:bCs/>
                <w:sz w:val="28"/>
                <w:szCs w:val="28"/>
              </w:rPr>
            </w:pPr>
            <w:r>
              <w:rPr>
                <w:rFonts w:hint="eastAsia" w:ascii="Times New Roman" w:hAnsi="Times New Roman"/>
                <w:b/>
                <w:bCs/>
                <w:sz w:val="28"/>
                <w:szCs w:val="28"/>
              </w:rPr>
              <w:t>实训</w:t>
            </w:r>
          </w:p>
          <w:p w14:paraId="39B29CC6">
            <w:pPr>
              <w:spacing w:line="360" w:lineRule="exact"/>
              <w:jc w:val="center"/>
              <w:rPr>
                <w:rFonts w:ascii="Times New Roman" w:hAnsi="Times New Roman"/>
                <w:sz w:val="28"/>
                <w:szCs w:val="28"/>
              </w:rPr>
            </w:pPr>
            <w:r>
              <w:rPr>
                <w:rFonts w:hint="eastAsia" w:ascii="Times New Roman" w:hAnsi="Times New Roman"/>
                <w:b/>
                <w:bCs/>
                <w:sz w:val="28"/>
                <w:szCs w:val="28"/>
              </w:rPr>
              <w:t>学时</w:t>
            </w:r>
          </w:p>
        </w:tc>
        <w:tc>
          <w:tcPr>
            <w:tcW w:w="923" w:type="dxa"/>
            <w:vAlign w:val="center"/>
          </w:tcPr>
          <w:p w14:paraId="6F0CB11E">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0</w:t>
            </w:r>
          </w:p>
        </w:tc>
      </w:tr>
      <w:tr w14:paraId="7838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2C1EA864">
            <w:pPr>
              <w:spacing w:line="360" w:lineRule="exact"/>
              <w:jc w:val="center"/>
              <w:rPr>
                <w:rFonts w:ascii="Times New Roman" w:hAnsi="Times New Roman"/>
                <w:b/>
                <w:bCs/>
                <w:sz w:val="28"/>
                <w:szCs w:val="28"/>
              </w:rPr>
            </w:pPr>
            <w:r>
              <w:rPr>
                <w:rFonts w:hint="eastAsia" w:ascii="Times New Roman" w:hAnsi="Times New Roman"/>
                <w:b/>
                <w:bCs/>
                <w:sz w:val="28"/>
                <w:szCs w:val="28"/>
              </w:rPr>
              <w:t>教研组</w:t>
            </w:r>
          </w:p>
          <w:p w14:paraId="78B75F24">
            <w:pPr>
              <w:spacing w:line="360" w:lineRule="exact"/>
              <w:jc w:val="center"/>
              <w:rPr>
                <w:rFonts w:ascii="Times New Roman" w:hAnsi="Times New Roman"/>
                <w:b/>
                <w:bCs/>
                <w:sz w:val="28"/>
                <w:szCs w:val="28"/>
              </w:rPr>
            </w:pPr>
            <w:r>
              <w:rPr>
                <w:rFonts w:hint="eastAsia" w:ascii="Times New Roman" w:hAnsi="Times New Roman"/>
                <w:b/>
                <w:bCs/>
                <w:sz w:val="28"/>
                <w:szCs w:val="28"/>
              </w:rPr>
              <w:t>审核</w:t>
            </w:r>
          </w:p>
        </w:tc>
        <w:tc>
          <w:tcPr>
            <w:tcW w:w="1791" w:type="dxa"/>
            <w:gridSpan w:val="3"/>
            <w:vAlign w:val="center"/>
          </w:tcPr>
          <w:p w14:paraId="2DC9E955">
            <w:pPr>
              <w:spacing w:line="360" w:lineRule="exact"/>
              <w:jc w:val="center"/>
              <w:rPr>
                <w:rFonts w:ascii="Times New Roman" w:hAnsi="Times New Roman"/>
                <w:sz w:val="28"/>
                <w:szCs w:val="28"/>
              </w:rPr>
            </w:pPr>
          </w:p>
        </w:tc>
        <w:tc>
          <w:tcPr>
            <w:tcW w:w="1665" w:type="dxa"/>
            <w:gridSpan w:val="2"/>
            <w:vAlign w:val="center"/>
          </w:tcPr>
          <w:p w14:paraId="68C38934">
            <w:pPr>
              <w:spacing w:line="360" w:lineRule="exact"/>
              <w:jc w:val="center"/>
              <w:rPr>
                <w:rFonts w:ascii="Times New Roman" w:hAnsi="Times New Roman"/>
                <w:b/>
                <w:bCs/>
                <w:sz w:val="28"/>
                <w:szCs w:val="28"/>
              </w:rPr>
            </w:pPr>
            <w:r>
              <w:rPr>
                <w:rFonts w:hint="eastAsia" w:ascii="Times New Roman" w:hAnsi="Times New Roman"/>
                <w:b/>
                <w:bCs/>
                <w:sz w:val="28"/>
                <w:szCs w:val="28"/>
              </w:rPr>
              <w:t>教学部</w:t>
            </w:r>
          </w:p>
          <w:p w14:paraId="36092218">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59" w:type="dxa"/>
            <w:gridSpan w:val="2"/>
            <w:vAlign w:val="center"/>
          </w:tcPr>
          <w:p w14:paraId="176DBFBF">
            <w:pPr>
              <w:spacing w:line="360" w:lineRule="exact"/>
              <w:jc w:val="center"/>
              <w:rPr>
                <w:rFonts w:ascii="Times New Roman" w:hAnsi="Times New Roman"/>
                <w:sz w:val="28"/>
                <w:szCs w:val="28"/>
              </w:rPr>
            </w:pPr>
          </w:p>
        </w:tc>
        <w:tc>
          <w:tcPr>
            <w:tcW w:w="1659" w:type="dxa"/>
            <w:gridSpan w:val="2"/>
            <w:vAlign w:val="center"/>
          </w:tcPr>
          <w:p w14:paraId="1CA34736">
            <w:pPr>
              <w:spacing w:line="360" w:lineRule="exact"/>
              <w:jc w:val="center"/>
              <w:rPr>
                <w:rFonts w:ascii="Times New Roman" w:hAnsi="Times New Roman"/>
                <w:b/>
                <w:bCs/>
                <w:sz w:val="28"/>
                <w:szCs w:val="28"/>
              </w:rPr>
            </w:pPr>
            <w:r>
              <w:rPr>
                <w:rFonts w:hint="eastAsia" w:ascii="Times New Roman" w:hAnsi="Times New Roman"/>
                <w:b/>
                <w:bCs/>
                <w:sz w:val="28"/>
                <w:szCs w:val="28"/>
              </w:rPr>
              <w:t>教务科</w:t>
            </w:r>
          </w:p>
          <w:p w14:paraId="6861D1BC">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63" w:type="dxa"/>
            <w:gridSpan w:val="2"/>
            <w:vAlign w:val="center"/>
          </w:tcPr>
          <w:p w14:paraId="5A3D2EC9">
            <w:pPr>
              <w:spacing w:line="360" w:lineRule="exact"/>
              <w:jc w:val="center"/>
              <w:rPr>
                <w:rFonts w:ascii="Times New Roman" w:hAnsi="Times New Roman"/>
                <w:sz w:val="28"/>
                <w:szCs w:val="28"/>
              </w:rPr>
            </w:pPr>
          </w:p>
        </w:tc>
      </w:tr>
      <w:tr w14:paraId="56E2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25" w:type="dxa"/>
            <w:vAlign w:val="center"/>
          </w:tcPr>
          <w:p w14:paraId="333CE1F1">
            <w:pPr>
              <w:jc w:val="center"/>
              <w:rPr>
                <w:rFonts w:ascii="Times New Roman" w:hAnsi="Times New Roman"/>
                <w:b/>
                <w:bCs/>
                <w:sz w:val="28"/>
                <w:szCs w:val="28"/>
              </w:rPr>
            </w:pPr>
            <w:r>
              <w:rPr>
                <w:rFonts w:hint="eastAsia" w:ascii="Times New Roman" w:hAnsi="Times New Roman"/>
                <w:b/>
                <w:bCs/>
                <w:sz w:val="28"/>
                <w:szCs w:val="28"/>
              </w:rPr>
              <w:t>教</w:t>
            </w:r>
          </w:p>
          <w:p w14:paraId="72BE27BE">
            <w:pPr>
              <w:jc w:val="center"/>
              <w:rPr>
                <w:rFonts w:ascii="Times New Roman" w:hAnsi="Times New Roman"/>
                <w:b/>
                <w:bCs/>
                <w:sz w:val="28"/>
                <w:szCs w:val="28"/>
              </w:rPr>
            </w:pPr>
            <w:r>
              <w:rPr>
                <w:rFonts w:hint="eastAsia" w:ascii="Times New Roman" w:hAnsi="Times New Roman"/>
                <w:b/>
                <w:bCs/>
                <w:sz w:val="28"/>
                <w:szCs w:val="28"/>
              </w:rPr>
              <w:t>学</w:t>
            </w:r>
          </w:p>
          <w:p w14:paraId="4912392F">
            <w:pPr>
              <w:jc w:val="center"/>
              <w:rPr>
                <w:rFonts w:ascii="Times New Roman" w:hAnsi="Times New Roman"/>
                <w:b/>
                <w:bCs/>
                <w:sz w:val="28"/>
                <w:szCs w:val="28"/>
              </w:rPr>
            </w:pPr>
            <w:r>
              <w:rPr>
                <w:rFonts w:hint="eastAsia" w:ascii="Times New Roman" w:hAnsi="Times New Roman"/>
                <w:b/>
                <w:bCs/>
                <w:sz w:val="28"/>
                <w:szCs w:val="28"/>
              </w:rPr>
              <w:t>内</w:t>
            </w:r>
          </w:p>
          <w:p w14:paraId="3398A893">
            <w:pPr>
              <w:jc w:val="center"/>
              <w:rPr>
                <w:rFonts w:ascii="Times New Roman" w:hAnsi="Times New Roman"/>
                <w:sz w:val="28"/>
                <w:szCs w:val="28"/>
              </w:rPr>
            </w:pPr>
            <w:r>
              <w:rPr>
                <w:rFonts w:hint="eastAsia" w:ascii="Times New Roman" w:hAnsi="Times New Roman"/>
                <w:b/>
                <w:bCs/>
                <w:sz w:val="28"/>
                <w:szCs w:val="28"/>
              </w:rPr>
              <w:t>容</w:t>
            </w:r>
          </w:p>
        </w:tc>
        <w:tc>
          <w:tcPr>
            <w:tcW w:w="8437" w:type="dxa"/>
            <w:gridSpan w:val="11"/>
            <w:vAlign w:val="center"/>
          </w:tcPr>
          <w:p w14:paraId="14031E35">
            <w:pPr>
              <w:spacing w:line="400" w:lineRule="exact"/>
              <w:ind w:firstLine="560" w:firstLineChars="200"/>
              <w:jc w:val="both"/>
              <w:rPr>
                <w:rFonts w:hint="eastAsia" w:ascii="Times New Roman" w:hAnsi="Times New Roman"/>
                <w:sz w:val="28"/>
                <w:szCs w:val="28"/>
              </w:rPr>
            </w:pPr>
          </w:p>
          <w:p w14:paraId="3A4837DF">
            <w:pPr>
              <w:spacing w:line="400" w:lineRule="exact"/>
              <w:ind w:firstLine="560" w:firstLineChars="200"/>
              <w:jc w:val="both"/>
              <w:rPr>
                <w:rFonts w:hint="eastAsia" w:ascii="Times New Roman" w:hAnsi="Times New Roman"/>
                <w:sz w:val="28"/>
                <w:szCs w:val="28"/>
              </w:rPr>
            </w:pPr>
            <w:r>
              <w:rPr>
                <w:rFonts w:hint="eastAsia" w:ascii="Times New Roman" w:hAnsi="Times New Roman"/>
                <w:sz w:val="28"/>
                <w:szCs w:val="28"/>
              </w:rPr>
              <w:t>本阶段课程涵盖两大知识板块，承担着从“区域认知”向“国家安全观”递进的教学任务。</w:t>
            </w:r>
          </w:p>
          <w:p w14:paraId="4C90CFC3">
            <w:pPr>
              <w:spacing w:line="400" w:lineRule="exact"/>
              <w:ind w:firstLine="560" w:firstLineChars="200"/>
              <w:jc w:val="both"/>
              <w:rPr>
                <w:rFonts w:hint="eastAsia" w:ascii="Times New Roman" w:hAnsi="Times New Roman"/>
                <w:sz w:val="28"/>
                <w:szCs w:val="28"/>
              </w:rPr>
            </w:pPr>
            <w:r>
              <w:rPr>
                <w:rFonts w:hint="eastAsia" w:ascii="Times New Roman" w:hAnsi="Times New Roman"/>
                <w:sz w:val="28"/>
                <w:szCs w:val="28"/>
              </w:rPr>
              <w:t>第一部分为鲁教版选择性必修第二册的收尾内容</w:t>
            </w:r>
            <w:bookmarkStart w:id="0" w:name="_GoBack"/>
            <w:bookmarkEnd w:id="0"/>
            <w:r>
              <w:rPr>
                <w:rFonts w:hint="eastAsia" w:ascii="Times New Roman" w:hAnsi="Times New Roman"/>
                <w:sz w:val="28"/>
                <w:szCs w:val="28"/>
              </w:rPr>
              <w:t>，主要包括第三单元“区域联系与区域发展”（如大都市辐射、产业转移、资源跨区域调配）和第四单元“区域协调发展”（如流域协作开发、一带一路合作倡议）。这部分内容侧重于探究区域之间的相互作用、产业转移规律以及区域协同发展的机制，是区域地理学习的深化与拓展。</w:t>
            </w:r>
          </w:p>
          <w:p w14:paraId="1A4B53FE">
            <w:pPr>
              <w:spacing w:line="400" w:lineRule="exact"/>
              <w:ind w:firstLine="560" w:firstLineChars="200"/>
              <w:jc w:val="both"/>
              <w:rPr>
                <w:rFonts w:hint="eastAsia" w:ascii="Times New Roman" w:hAnsi="Times New Roman"/>
                <w:sz w:val="28"/>
                <w:szCs w:val="28"/>
              </w:rPr>
            </w:pPr>
            <w:r>
              <w:rPr>
                <w:rFonts w:hint="eastAsia" w:ascii="Times New Roman" w:hAnsi="Times New Roman"/>
                <w:sz w:val="28"/>
                <w:szCs w:val="28"/>
              </w:rPr>
              <w:t>第二部分为选择性必修第三册“资源、环境与国家安全”全册，涵盖第一单元“自然资源与国家安全”（包括石油、耕地、海洋空间资源等）和第二单元“生态环境与国家安全”（包括碳排放、自然保护区、污染物转移等）。本部分从资源安全与环境安全两大维度出发，系统阐述国家安全视角下的地理问题，具有鲜明的时代性和政策性，是地理学科育人价值的高度体现。</w:t>
            </w:r>
          </w:p>
          <w:p w14:paraId="748C594D">
            <w:pPr>
              <w:spacing w:line="400" w:lineRule="exact"/>
              <w:ind w:firstLine="560" w:firstLineChars="200"/>
              <w:jc w:val="both"/>
              <w:rPr>
                <w:rFonts w:hint="eastAsia" w:ascii="Times New Roman" w:hAnsi="Times New Roman"/>
                <w:sz w:val="28"/>
                <w:szCs w:val="28"/>
              </w:rPr>
            </w:pPr>
          </w:p>
        </w:tc>
      </w:tr>
      <w:tr w14:paraId="528B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525" w:type="dxa"/>
            <w:vAlign w:val="center"/>
          </w:tcPr>
          <w:p w14:paraId="4BB4E4F2">
            <w:pPr>
              <w:jc w:val="center"/>
              <w:rPr>
                <w:rFonts w:ascii="Times New Roman" w:hAnsi="Times New Roman"/>
                <w:b/>
                <w:bCs/>
                <w:sz w:val="28"/>
                <w:szCs w:val="28"/>
              </w:rPr>
            </w:pPr>
            <w:r>
              <w:rPr>
                <w:rFonts w:hint="eastAsia" w:ascii="Times New Roman" w:hAnsi="Times New Roman"/>
                <w:b/>
                <w:bCs/>
                <w:sz w:val="28"/>
                <w:szCs w:val="28"/>
              </w:rPr>
              <w:t>学</w:t>
            </w:r>
          </w:p>
          <w:p w14:paraId="3F8B69C1">
            <w:pPr>
              <w:jc w:val="center"/>
              <w:rPr>
                <w:rFonts w:ascii="Times New Roman" w:hAnsi="Times New Roman"/>
                <w:b/>
                <w:bCs/>
                <w:sz w:val="28"/>
                <w:szCs w:val="28"/>
              </w:rPr>
            </w:pPr>
            <w:r>
              <w:rPr>
                <w:rFonts w:hint="eastAsia" w:ascii="Times New Roman" w:hAnsi="Times New Roman"/>
                <w:b/>
                <w:bCs/>
                <w:sz w:val="28"/>
                <w:szCs w:val="28"/>
              </w:rPr>
              <w:t>情</w:t>
            </w:r>
          </w:p>
          <w:p w14:paraId="6068023F">
            <w:pPr>
              <w:jc w:val="center"/>
              <w:rPr>
                <w:rFonts w:ascii="Times New Roman" w:hAnsi="Times New Roman"/>
                <w:b/>
                <w:bCs/>
                <w:sz w:val="28"/>
                <w:szCs w:val="28"/>
              </w:rPr>
            </w:pPr>
            <w:r>
              <w:rPr>
                <w:rFonts w:hint="eastAsia" w:ascii="Times New Roman" w:hAnsi="Times New Roman"/>
                <w:b/>
                <w:bCs/>
                <w:sz w:val="28"/>
                <w:szCs w:val="28"/>
              </w:rPr>
              <w:t>分</w:t>
            </w:r>
          </w:p>
          <w:p w14:paraId="53C4BD83">
            <w:pPr>
              <w:jc w:val="center"/>
              <w:rPr>
                <w:rFonts w:hint="eastAsia" w:ascii="Times New Roman" w:hAnsi="Times New Roman"/>
                <w:b/>
                <w:bCs/>
                <w:sz w:val="28"/>
                <w:szCs w:val="28"/>
              </w:rPr>
            </w:pPr>
            <w:r>
              <w:rPr>
                <w:rFonts w:hint="eastAsia" w:ascii="Times New Roman" w:hAnsi="Times New Roman"/>
                <w:b/>
                <w:bCs/>
                <w:sz w:val="28"/>
                <w:szCs w:val="28"/>
              </w:rPr>
              <w:t>析</w:t>
            </w:r>
          </w:p>
        </w:tc>
        <w:tc>
          <w:tcPr>
            <w:tcW w:w="8437" w:type="dxa"/>
            <w:gridSpan w:val="11"/>
            <w:vAlign w:val="center"/>
          </w:tcPr>
          <w:p w14:paraId="73433BAD">
            <w:pPr>
              <w:spacing w:line="400" w:lineRule="exact"/>
              <w:ind w:firstLine="560" w:firstLineChars="200"/>
              <w:jc w:val="left"/>
              <w:rPr>
                <w:rFonts w:hint="eastAsia" w:ascii="Times New Roman" w:hAnsi="Times New Roman"/>
                <w:sz w:val="28"/>
                <w:szCs w:val="28"/>
              </w:rPr>
            </w:pPr>
          </w:p>
          <w:p w14:paraId="384B40CA">
            <w:pPr>
              <w:spacing w:line="400" w:lineRule="exact"/>
              <w:ind w:firstLine="560" w:firstLineChars="200"/>
              <w:jc w:val="left"/>
              <w:rPr>
                <w:rFonts w:hint="eastAsia" w:ascii="Times New Roman" w:hAnsi="Times New Roman"/>
                <w:sz w:val="28"/>
                <w:szCs w:val="28"/>
              </w:rPr>
            </w:pPr>
            <w:r>
              <w:rPr>
                <w:rFonts w:hint="eastAsia" w:ascii="Times New Roman" w:hAnsi="Times New Roman"/>
                <w:sz w:val="28"/>
                <w:szCs w:val="28"/>
              </w:rPr>
              <w:t>学生经过前期必修课程及选必二前面单元的学习，已经具备了一定的区域认知能力和综合分析思维。他们对地理现象有基本的观察能力，能够理解区域特征和发展的一般规律，但面对复杂的区域联系、资源跨区域调配的深远影响以及资源环境与国家安全之间的抽象关系时，往往存在认知深度不足的问题。</w:t>
            </w:r>
          </w:p>
          <w:p w14:paraId="3DA7343D">
            <w:pPr>
              <w:spacing w:line="400" w:lineRule="exact"/>
              <w:ind w:firstLine="560" w:firstLineChars="200"/>
              <w:jc w:val="left"/>
              <w:rPr>
                <w:rFonts w:hint="eastAsia" w:ascii="Times New Roman" w:hAnsi="Times New Roman"/>
                <w:sz w:val="28"/>
                <w:szCs w:val="28"/>
              </w:rPr>
            </w:pPr>
            <w:r>
              <w:rPr>
                <w:rFonts w:hint="eastAsia" w:ascii="Times New Roman" w:hAnsi="Times New Roman"/>
                <w:sz w:val="28"/>
                <w:szCs w:val="28"/>
              </w:rPr>
              <w:t>具体而言，学生的空间概念和图景构建能力仍有待加强，初中地理基础知识的薄弱在一定程度上制约了对区域问题的深入理解。对于选必三涉及的国家安全、能源战略、生态红线等内容，学生虽有感性认知但缺乏系统性的理论支撑，尤其是将地理原理与政治、经济、法律相结合的综合分析能力亟需提升。此外，学生对案例背后的地理逻辑挖掘不够，从“知”到“识”的转化能力有待培养。</w:t>
            </w:r>
          </w:p>
          <w:p w14:paraId="44D6086A">
            <w:pPr>
              <w:spacing w:line="400" w:lineRule="exact"/>
              <w:ind w:firstLine="560" w:firstLineChars="200"/>
              <w:jc w:val="left"/>
              <w:rPr>
                <w:rFonts w:hint="eastAsia" w:ascii="Times New Roman" w:hAnsi="Times New Roman"/>
                <w:sz w:val="28"/>
                <w:szCs w:val="28"/>
              </w:rPr>
            </w:pPr>
          </w:p>
        </w:tc>
      </w:tr>
      <w:tr w14:paraId="24D3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3" w:hRule="atLeast"/>
        </w:trPr>
        <w:tc>
          <w:tcPr>
            <w:tcW w:w="1525" w:type="dxa"/>
            <w:vMerge w:val="restart"/>
            <w:vAlign w:val="center"/>
          </w:tcPr>
          <w:p w14:paraId="42BBF41D">
            <w:pPr>
              <w:jc w:val="center"/>
              <w:rPr>
                <w:rFonts w:ascii="Times New Roman" w:hAnsi="Times New Roman"/>
                <w:b/>
                <w:bCs/>
                <w:sz w:val="28"/>
                <w:szCs w:val="28"/>
              </w:rPr>
            </w:pPr>
            <w:r>
              <w:rPr>
                <w:rFonts w:hint="eastAsia" w:ascii="Times New Roman" w:hAnsi="Times New Roman"/>
                <w:b/>
                <w:bCs/>
                <w:sz w:val="28"/>
                <w:szCs w:val="28"/>
              </w:rPr>
              <w:t>教</w:t>
            </w:r>
          </w:p>
          <w:p w14:paraId="350F34EF">
            <w:pPr>
              <w:jc w:val="center"/>
              <w:rPr>
                <w:rFonts w:ascii="Times New Roman" w:hAnsi="Times New Roman"/>
                <w:b/>
                <w:bCs/>
                <w:sz w:val="28"/>
                <w:szCs w:val="28"/>
              </w:rPr>
            </w:pPr>
            <w:r>
              <w:rPr>
                <w:rFonts w:hint="eastAsia" w:ascii="Times New Roman" w:hAnsi="Times New Roman"/>
                <w:b/>
                <w:bCs/>
                <w:sz w:val="28"/>
                <w:szCs w:val="28"/>
              </w:rPr>
              <w:t>学</w:t>
            </w:r>
          </w:p>
          <w:p w14:paraId="5FE029E8">
            <w:pPr>
              <w:jc w:val="center"/>
              <w:rPr>
                <w:rFonts w:ascii="Times New Roman" w:hAnsi="Times New Roman"/>
                <w:b/>
                <w:bCs/>
                <w:sz w:val="28"/>
                <w:szCs w:val="28"/>
              </w:rPr>
            </w:pPr>
            <w:r>
              <w:rPr>
                <w:rFonts w:hint="eastAsia" w:ascii="Times New Roman" w:hAnsi="Times New Roman"/>
                <w:b/>
                <w:bCs/>
                <w:sz w:val="28"/>
                <w:szCs w:val="28"/>
              </w:rPr>
              <w:t>目</w:t>
            </w:r>
          </w:p>
          <w:p w14:paraId="379AEF85">
            <w:pPr>
              <w:jc w:val="center"/>
              <w:rPr>
                <w:rFonts w:ascii="Times New Roman" w:hAnsi="Times New Roman"/>
                <w:b/>
                <w:bCs/>
                <w:sz w:val="28"/>
                <w:szCs w:val="28"/>
              </w:rPr>
            </w:pPr>
            <w:r>
              <w:rPr>
                <w:rFonts w:hint="eastAsia" w:ascii="Times New Roman" w:hAnsi="Times New Roman"/>
                <w:b/>
                <w:bCs/>
                <w:sz w:val="28"/>
                <w:szCs w:val="28"/>
              </w:rPr>
              <w:t>标</w:t>
            </w:r>
          </w:p>
        </w:tc>
        <w:tc>
          <w:tcPr>
            <w:tcW w:w="993" w:type="dxa"/>
            <w:vAlign w:val="center"/>
          </w:tcPr>
          <w:p w14:paraId="4A57D0A2">
            <w:pPr>
              <w:jc w:val="center"/>
              <w:rPr>
                <w:rFonts w:ascii="Times New Roman" w:hAnsi="Times New Roman"/>
                <w:b/>
                <w:bCs/>
                <w:sz w:val="28"/>
                <w:szCs w:val="28"/>
              </w:rPr>
            </w:pPr>
            <w:r>
              <w:rPr>
                <w:rFonts w:hint="eastAsia" w:ascii="Times New Roman" w:hAnsi="Times New Roman"/>
                <w:b/>
                <w:bCs/>
                <w:sz w:val="28"/>
                <w:szCs w:val="28"/>
              </w:rPr>
              <w:t>知识</w:t>
            </w:r>
          </w:p>
          <w:p w14:paraId="4DE3A23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1ECB228A">
            <w:pPr>
              <w:spacing w:line="400" w:lineRule="exact"/>
              <w:jc w:val="left"/>
              <w:rPr>
                <w:rFonts w:hint="eastAsia" w:ascii="Times New Roman" w:hAnsi="Times New Roman"/>
                <w:sz w:val="28"/>
                <w:szCs w:val="28"/>
                <w:lang w:val="en-US" w:eastAsia="zh-CN"/>
              </w:rPr>
            </w:pPr>
            <w:r>
              <w:rPr>
                <w:rFonts w:hint="eastAsia" w:ascii="Times New Roman" w:hAnsi="Times New Roman"/>
                <w:sz w:val="28"/>
                <w:szCs w:val="28"/>
                <w:lang w:val="en-US" w:eastAsia="zh-CN"/>
              </w:rPr>
              <w:t>1. 系统掌握区域联系的主要形式，理解大都市辐射功能、产业转移的规律以及资源跨区域调配的背景与意义，能够结合具体案例（如上海、亚太地区、南水北调）进行分析。</w:t>
            </w:r>
          </w:p>
          <w:p w14:paraId="6778B2EE">
            <w:pPr>
              <w:spacing w:line="400" w:lineRule="exact"/>
              <w:jc w:val="left"/>
              <w:rPr>
                <w:rFonts w:hint="eastAsia" w:ascii="Times New Roman" w:hAnsi="Times New Roman"/>
                <w:sz w:val="28"/>
                <w:szCs w:val="28"/>
                <w:lang w:val="en-US" w:eastAsia="zh-CN"/>
              </w:rPr>
            </w:pPr>
            <w:r>
              <w:rPr>
                <w:rFonts w:hint="eastAsia" w:ascii="Times New Roman" w:hAnsi="Times New Roman"/>
                <w:sz w:val="28"/>
                <w:szCs w:val="28"/>
                <w:lang w:val="en-US" w:eastAsia="zh-CN"/>
              </w:rPr>
              <w:t>2. 理解区域协调发展的内涵，掌握流域协作开发的基本框架，了解一带一路倡议的地理背景与合作模式。</w:t>
            </w:r>
          </w:p>
          <w:p w14:paraId="57F1BA6B">
            <w:pPr>
              <w:spacing w:line="400" w:lineRule="exact"/>
              <w:jc w:val="left"/>
              <w:rPr>
                <w:rFonts w:hint="eastAsia" w:ascii="Times New Roman" w:hAnsi="Times New Roman"/>
                <w:sz w:val="28"/>
                <w:szCs w:val="28"/>
                <w:lang w:val="en-US" w:eastAsia="zh-CN"/>
              </w:rPr>
            </w:pPr>
            <w:r>
              <w:rPr>
                <w:rFonts w:hint="eastAsia" w:ascii="Times New Roman" w:hAnsi="Times New Roman"/>
                <w:sz w:val="28"/>
                <w:szCs w:val="28"/>
                <w:lang w:val="en-US" w:eastAsia="zh-CN"/>
              </w:rPr>
              <w:t>3. 掌握自然资源的基本属性（数量、质量、空间分布特征）及其与国家安全的关系，明确石油、耕地、海洋空间资源对国家战略安全的意义。</w:t>
            </w:r>
          </w:p>
          <w:p w14:paraId="0FC8C901">
            <w:pPr>
              <w:spacing w:line="400" w:lineRule="exact"/>
              <w:jc w:val="left"/>
              <w:rPr>
                <w:rFonts w:ascii="Times New Roman" w:hAnsi="Times New Roman"/>
                <w:sz w:val="28"/>
                <w:szCs w:val="28"/>
              </w:rPr>
            </w:pPr>
            <w:r>
              <w:rPr>
                <w:rFonts w:hint="eastAsia" w:ascii="Times New Roman" w:hAnsi="Times New Roman"/>
                <w:sz w:val="28"/>
                <w:szCs w:val="28"/>
                <w:lang w:val="en-US" w:eastAsia="zh-CN"/>
              </w:rPr>
              <w:t>4. 掌握主要生态环境问题（碳排放、污染物转移等）的成因、过程及影响，理解自然保护区在生态安全中的作用，树立依法保护环境的意识。</w:t>
            </w:r>
          </w:p>
        </w:tc>
      </w:tr>
      <w:tr w14:paraId="6850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9" w:hRule="atLeast"/>
        </w:trPr>
        <w:tc>
          <w:tcPr>
            <w:tcW w:w="1525" w:type="dxa"/>
            <w:vMerge w:val="continue"/>
            <w:vAlign w:val="center"/>
          </w:tcPr>
          <w:p w14:paraId="4619BF62">
            <w:pPr>
              <w:jc w:val="center"/>
              <w:rPr>
                <w:rFonts w:ascii="Times New Roman" w:hAnsi="Times New Roman"/>
                <w:b/>
                <w:bCs/>
                <w:sz w:val="28"/>
                <w:szCs w:val="28"/>
              </w:rPr>
            </w:pPr>
          </w:p>
        </w:tc>
        <w:tc>
          <w:tcPr>
            <w:tcW w:w="993" w:type="dxa"/>
            <w:vAlign w:val="center"/>
          </w:tcPr>
          <w:p w14:paraId="5F33B8F8">
            <w:pPr>
              <w:jc w:val="center"/>
              <w:rPr>
                <w:rFonts w:ascii="Times New Roman" w:hAnsi="Times New Roman"/>
                <w:b/>
                <w:bCs/>
                <w:sz w:val="28"/>
                <w:szCs w:val="28"/>
              </w:rPr>
            </w:pPr>
            <w:r>
              <w:rPr>
                <w:rFonts w:hint="eastAsia" w:ascii="Times New Roman" w:hAnsi="Times New Roman"/>
                <w:b/>
                <w:bCs/>
                <w:sz w:val="28"/>
                <w:szCs w:val="28"/>
              </w:rPr>
              <w:t>能力</w:t>
            </w:r>
          </w:p>
          <w:p w14:paraId="64CFFDF9">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1A948240">
            <w:pPr>
              <w:spacing w:line="400" w:lineRule="exact"/>
              <w:jc w:val="left"/>
              <w:rPr>
                <w:rFonts w:hint="eastAsia" w:ascii="Times New Roman" w:hAnsi="Times New Roman"/>
                <w:sz w:val="28"/>
                <w:szCs w:val="28"/>
              </w:rPr>
            </w:pPr>
          </w:p>
          <w:p w14:paraId="5025A8F8">
            <w:pPr>
              <w:spacing w:line="400" w:lineRule="exact"/>
              <w:jc w:val="left"/>
              <w:rPr>
                <w:rFonts w:hint="eastAsia" w:ascii="Times New Roman" w:hAnsi="Times New Roman"/>
                <w:sz w:val="28"/>
                <w:szCs w:val="28"/>
              </w:rPr>
            </w:pPr>
            <w:r>
              <w:rPr>
                <w:rFonts w:hint="eastAsia" w:ascii="Times New Roman" w:hAnsi="Times New Roman"/>
                <w:sz w:val="28"/>
                <w:szCs w:val="28"/>
              </w:rPr>
              <w:t>1. 图文信息解读能力：能够阅读并分析各类地理图表、遥感图像及统计资料，从复杂材料中提取有效信息并归纳地理特征。</w:t>
            </w:r>
          </w:p>
          <w:p w14:paraId="6FB6E611">
            <w:pPr>
              <w:spacing w:line="400" w:lineRule="exact"/>
              <w:jc w:val="left"/>
              <w:rPr>
                <w:rFonts w:hint="eastAsia" w:ascii="Times New Roman" w:hAnsi="Times New Roman"/>
                <w:sz w:val="28"/>
                <w:szCs w:val="28"/>
              </w:rPr>
            </w:pPr>
            <w:r>
              <w:rPr>
                <w:rFonts w:hint="eastAsia" w:ascii="Times New Roman" w:hAnsi="Times New Roman"/>
                <w:sz w:val="28"/>
                <w:szCs w:val="28"/>
              </w:rPr>
              <w:t>2. 案例分析迁移能力：运用所学原理对给定的新案例进行独立分析，实现知识迁移，例如从鲁尔区分析迁移到其他资源型地区的发展问题。</w:t>
            </w:r>
          </w:p>
          <w:p w14:paraId="61196DB5">
            <w:pPr>
              <w:spacing w:line="400" w:lineRule="exact"/>
              <w:jc w:val="left"/>
              <w:rPr>
                <w:rFonts w:hint="eastAsia" w:ascii="Times New Roman" w:hAnsi="Times New Roman"/>
                <w:sz w:val="28"/>
                <w:szCs w:val="28"/>
              </w:rPr>
            </w:pPr>
            <w:r>
              <w:rPr>
                <w:rFonts w:hint="eastAsia" w:ascii="Times New Roman" w:hAnsi="Times New Roman"/>
                <w:sz w:val="28"/>
                <w:szCs w:val="28"/>
              </w:rPr>
              <w:t>3. 综合思维构建能力：能够从时空综合、要素综合的角度分析区域发展与资源环境问题，理解人地关系中多种因素的相互影响与反馈机制。</w:t>
            </w:r>
          </w:p>
          <w:p w14:paraId="1A4F1E77">
            <w:pPr>
              <w:spacing w:line="400" w:lineRule="exact"/>
              <w:jc w:val="left"/>
              <w:rPr>
                <w:rFonts w:hint="eastAsia" w:ascii="Times New Roman" w:hAnsi="Times New Roman"/>
                <w:sz w:val="28"/>
                <w:szCs w:val="28"/>
              </w:rPr>
            </w:pPr>
            <w:r>
              <w:rPr>
                <w:rFonts w:hint="eastAsia" w:ascii="Times New Roman" w:hAnsi="Times New Roman"/>
                <w:sz w:val="28"/>
                <w:szCs w:val="28"/>
              </w:rPr>
              <w:t>4. 实践探究与表达能力：通过小组合作、区域调查或模拟决策等活动，培养学生的地理实践力，并能够运用规范的地理术语进行口头和书面表达。</w:t>
            </w:r>
          </w:p>
          <w:p w14:paraId="25030C85">
            <w:pPr>
              <w:spacing w:line="400" w:lineRule="exact"/>
              <w:jc w:val="left"/>
              <w:rPr>
                <w:rFonts w:hint="eastAsia" w:ascii="Times New Roman" w:hAnsi="Times New Roman"/>
                <w:sz w:val="28"/>
                <w:szCs w:val="28"/>
              </w:rPr>
            </w:pPr>
          </w:p>
        </w:tc>
      </w:tr>
      <w:tr w14:paraId="502C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7" w:hRule="atLeast"/>
        </w:trPr>
        <w:tc>
          <w:tcPr>
            <w:tcW w:w="1525" w:type="dxa"/>
            <w:vMerge w:val="continue"/>
            <w:vAlign w:val="center"/>
          </w:tcPr>
          <w:p w14:paraId="57EC734B">
            <w:pPr>
              <w:jc w:val="center"/>
              <w:rPr>
                <w:rFonts w:ascii="Times New Roman" w:hAnsi="Times New Roman"/>
                <w:b/>
                <w:bCs/>
                <w:sz w:val="28"/>
                <w:szCs w:val="28"/>
              </w:rPr>
            </w:pPr>
          </w:p>
        </w:tc>
        <w:tc>
          <w:tcPr>
            <w:tcW w:w="993" w:type="dxa"/>
            <w:vAlign w:val="center"/>
          </w:tcPr>
          <w:p w14:paraId="22494E95">
            <w:pPr>
              <w:jc w:val="center"/>
              <w:rPr>
                <w:rFonts w:ascii="Times New Roman" w:hAnsi="Times New Roman"/>
                <w:b/>
                <w:bCs/>
                <w:sz w:val="28"/>
                <w:szCs w:val="28"/>
              </w:rPr>
            </w:pPr>
            <w:r>
              <w:rPr>
                <w:rFonts w:hint="eastAsia" w:ascii="Times New Roman" w:hAnsi="Times New Roman"/>
                <w:b/>
                <w:bCs/>
                <w:sz w:val="28"/>
                <w:szCs w:val="28"/>
              </w:rPr>
              <w:t>素质</w:t>
            </w:r>
          </w:p>
          <w:p w14:paraId="250FEB9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0DE615BB">
            <w:pPr>
              <w:spacing w:line="400" w:lineRule="exact"/>
              <w:jc w:val="left"/>
              <w:rPr>
                <w:rFonts w:hint="eastAsia" w:ascii="Times New Roman" w:hAnsi="Times New Roman"/>
                <w:sz w:val="28"/>
                <w:szCs w:val="28"/>
              </w:rPr>
            </w:pPr>
          </w:p>
          <w:p w14:paraId="71238606">
            <w:pPr>
              <w:spacing w:line="400" w:lineRule="exact"/>
              <w:jc w:val="left"/>
              <w:rPr>
                <w:rFonts w:hint="eastAsia" w:ascii="Times New Roman" w:hAnsi="Times New Roman"/>
                <w:sz w:val="28"/>
                <w:szCs w:val="28"/>
              </w:rPr>
            </w:pPr>
            <w:r>
              <w:rPr>
                <w:rFonts w:hint="eastAsia" w:ascii="Times New Roman" w:hAnsi="Times New Roman"/>
                <w:sz w:val="28"/>
                <w:szCs w:val="28"/>
              </w:rPr>
              <w:t>1. 人地协调观：深刻认识人类活动与地理环境之间的相互作用，理解因地制宜和可持续发展的必要性，形成尊重自然、保护环境的意识。</w:t>
            </w:r>
          </w:p>
          <w:p w14:paraId="0562063A">
            <w:pPr>
              <w:spacing w:line="400" w:lineRule="exact"/>
              <w:jc w:val="left"/>
              <w:rPr>
                <w:rFonts w:hint="eastAsia" w:ascii="Times New Roman" w:hAnsi="Times New Roman"/>
                <w:sz w:val="28"/>
                <w:szCs w:val="28"/>
              </w:rPr>
            </w:pPr>
            <w:r>
              <w:rPr>
                <w:rFonts w:hint="eastAsia" w:ascii="Times New Roman" w:hAnsi="Times New Roman"/>
                <w:sz w:val="28"/>
                <w:szCs w:val="28"/>
              </w:rPr>
              <w:t>2. 国家安全意识：通过学习资源安全、环境安全、海洋国土安全等内容，增强国家主权意识与海洋权益观念，理解国家重大战略工程（如西气东输、南水北调、海洋强国战略）的地理背景与战略意义，厚植家国情怀。</w:t>
            </w:r>
          </w:p>
          <w:p w14:paraId="157DB214">
            <w:pPr>
              <w:spacing w:line="400" w:lineRule="exact"/>
              <w:jc w:val="left"/>
              <w:rPr>
                <w:rFonts w:hint="eastAsia" w:ascii="Times New Roman" w:hAnsi="Times New Roman"/>
                <w:sz w:val="28"/>
                <w:szCs w:val="28"/>
              </w:rPr>
            </w:pPr>
            <w:r>
              <w:rPr>
                <w:rFonts w:hint="eastAsia" w:ascii="Times New Roman" w:hAnsi="Times New Roman"/>
                <w:sz w:val="28"/>
                <w:szCs w:val="28"/>
              </w:rPr>
              <w:t>3. 科学精神与法治意识：面对复杂的资源环境问题，培养学生求真务实的科学态度，初步了解国际法（如《联合国海洋法公约》）在解决地理争端中的应用，树立依法利用资源、保护环境的法治观念。</w:t>
            </w:r>
          </w:p>
          <w:p w14:paraId="6ECD2C62">
            <w:pPr>
              <w:spacing w:line="400" w:lineRule="exact"/>
              <w:jc w:val="left"/>
              <w:rPr>
                <w:rFonts w:hint="eastAsia" w:ascii="Times New Roman" w:hAnsi="Times New Roman"/>
                <w:sz w:val="28"/>
                <w:szCs w:val="28"/>
              </w:rPr>
            </w:pPr>
            <w:r>
              <w:rPr>
                <w:rFonts w:hint="eastAsia" w:ascii="Times New Roman" w:hAnsi="Times New Roman"/>
                <w:sz w:val="28"/>
                <w:szCs w:val="28"/>
              </w:rPr>
              <w:t>4. 全球视野与责任担当：在一带一路、污染物跨境转移等教学内容中，引导学生关注全球性地理问题，理解人类命运共同体的内涵，培养开放包容的世界眼光和责任担当精神。</w:t>
            </w:r>
          </w:p>
          <w:p w14:paraId="5FFD3508">
            <w:pPr>
              <w:spacing w:line="400" w:lineRule="exact"/>
              <w:jc w:val="left"/>
              <w:rPr>
                <w:rFonts w:hint="eastAsia" w:ascii="Times New Roman" w:hAnsi="Times New Roman"/>
                <w:sz w:val="28"/>
                <w:szCs w:val="28"/>
              </w:rPr>
            </w:pPr>
          </w:p>
        </w:tc>
      </w:tr>
      <w:tr w14:paraId="0C34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14:paraId="2CF96FEF">
            <w:pPr>
              <w:jc w:val="center"/>
              <w:rPr>
                <w:rFonts w:ascii="Times New Roman" w:hAnsi="Times New Roman"/>
                <w:b/>
                <w:bCs/>
                <w:sz w:val="28"/>
                <w:szCs w:val="28"/>
              </w:rPr>
            </w:pPr>
            <w:r>
              <w:rPr>
                <w:rFonts w:hint="eastAsia" w:ascii="Times New Roman" w:hAnsi="Times New Roman"/>
                <w:b/>
                <w:bCs/>
                <w:sz w:val="28"/>
                <w:szCs w:val="28"/>
              </w:rPr>
              <w:t>考</w:t>
            </w:r>
          </w:p>
          <w:p w14:paraId="7BE11FAD">
            <w:pPr>
              <w:jc w:val="center"/>
              <w:rPr>
                <w:rFonts w:ascii="Times New Roman" w:hAnsi="Times New Roman"/>
                <w:b/>
                <w:bCs/>
                <w:sz w:val="28"/>
                <w:szCs w:val="28"/>
              </w:rPr>
            </w:pPr>
            <w:r>
              <w:rPr>
                <w:rFonts w:hint="eastAsia" w:ascii="Times New Roman" w:hAnsi="Times New Roman"/>
                <w:b/>
                <w:bCs/>
                <w:sz w:val="28"/>
                <w:szCs w:val="28"/>
              </w:rPr>
              <w:t>核</w:t>
            </w:r>
          </w:p>
          <w:p w14:paraId="59F39E39">
            <w:pPr>
              <w:jc w:val="center"/>
              <w:rPr>
                <w:rFonts w:ascii="Times New Roman" w:hAnsi="Times New Roman"/>
                <w:b/>
                <w:bCs/>
                <w:sz w:val="28"/>
                <w:szCs w:val="28"/>
              </w:rPr>
            </w:pPr>
            <w:r>
              <w:rPr>
                <w:rFonts w:hint="eastAsia" w:ascii="Times New Roman" w:hAnsi="Times New Roman"/>
                <w:b/>
                <w:bCs/>
                <w:sz w:val="28"/>
                <w:szCs w:val="28"/>
              </w:rPr>
              <w:t>方</w:t>
            </w:r>
          </w:p>
          <w:p w14:paraId="63C9CAC7">
            <w:pPr>
              <w:jc w:val="center"/>
              <w:rPr>
                <w:rFonts w:ascii="Times New Roman" w:hAnsi="Times New Roman"/>
                <w:b/>
                <w:bCs/>
                <w:sz w:val="28"/>
                <w:szCs w:val="28"/>
              </w:rPr>
            </w:pPr>
            <w:r>
              <w:rPr>
                <w:rFonts w:hint="eastAsia" w:ascii="Times New Roman" w:hAnsi="Times New Roman"/>
                <w:b/>
                <w:bCs/>
                <w:sz w:val="28"/>
                <w:szCs w:val="28"/>
              </w:rPr>
              <w:t>式</w:t>
            </w:r>
          </w:p>
        </w:tc>
        <w:tc>
          <w:tcPr>
            <w:tcW w:w="993" w:type="dxa"/>
            <w:vAlign w:val="center"/>
          </w:tcPr>
          <w:p w14:paraId="494265EB">
            <w:pPr>
              <w:jc w:val="center"/>
              <w:rPr>
                <w:rFonts w:ascii="Times New Roman" w:hAnsi="Times New Roman"/>
                <w:b/>
                <w:bCs/>
                <w:sz w:val="28"/>
                <w:szCs w:val="28"/>
              </w:rPr>
            </w:pPr>
            <w:r>
              <w:rPr>
                <w:rFonts w:hint="eastAsia" w:ascii="Times New Roman" w:hAnsi="Times New Roman"/>
                <w:b/>
                <w:bCs/>
                <w:sz w:val="28"/>
                <w:szCs w:val="28"/>
              </w:rPr>
              <w:t>平时</w:t>
            </w:r>
          </w:p>
          <w:p w14:paraId="2502B38B">
            <w:pPr>
              <w:jc w:val="center"/>
              <w:rPr>
                <w:rFonts w:hint="eastAsia" w:ascii="Times New Roman" w:hAnsi="Times New Roman"/>
                <w:b/>
                <w:bCs/>
                <w:sz w:val="28"/>
                <w:szCs w:val="28"/>
              </w:rPr>
            </w:pP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7FE2B0C1">
            <w:pPr>
              <w:spacing w:line="400" w:lineRule="exact"/>
              <w:jc w:val="left"/>
              <w:rPr>
                <w:rFonts w:hint="eastAsia" w:ascii="Times New Roman" w:hAnsi="Times New Roman"/>
                <w:sz w:val="28"/>
                <w:szCs w:val="28"/>
              </w:rPr>
            </w:pPr>
          </w:p>
          <w:p w14:paraId="1DC1CB3A">
            <w:pPr>
              <w:spacing w:line="400" w:lineRule="exact"/>
              <w:jc w:val="left"/>
              <w:rPr>
                <w:rFonts w:hint="eastAsia" w:ascii="Times New Roman" w:hAnsi="Times New Roman"/>
                <w:sz w:val="28"/>
                <w:szCs w:val="28"/>
              </w:rPr>
            </w:pPr>
            <w:r>
              <w:rPr>
                <w:rFonts w:hint="eastAsia" w:ascii="Times New Roman" w:hAnsi="Times New Roman"/>
                <w:sz w:val="28"/>
                <w:szCs w:val="28"/>
              </w:rPr>
              <w:t>课堂表现：依据学生课堂参与度、探究活动贡献度、互动反馈质量等进行评价。</w:t>
            </w:r>
          </w:p>
          <w:p w14:paraId="20D8BE0B">
            <w:pPr>
              <w:spacing w:line="400" w:lineRule="exact"/>
              <w:jc w:val="left"/>
              <w:rPr>
                <w:rFonts w:hint="eastAsia" w:ascii="Times New Roman" w:hAnsi="Times New Roman"/>
                <w:sz w:val="28"/>
                <w:szCs w:val="28"/>
              </w:rPr>
            </w:pPr>
            <w:r>
              <w:rPr>
                <w:rFonts w:hint="eastAsia" w:ascii="Times New Roman" w:hAnsi="Times New Roman"/>
                <w:sz w:val="28"/>
                <w:szCs w:val="28"/>
              </w:rPr>
              <w:t>作业完成：包括基础练习题、图表分析题、实践报告等，从完成及时性、准确性、规范性三方面评分。</w:t>
            </w:r>
          </w:p>
          <w:p w14:paraId="0A024F4F">
            <w:pPr>
              <w:spacing w:line="400" w:lineRule="exact"/>
              <w:jc w:val="left"/>
              <w:rPr>
                <w:rFonts w:hint="eastAsia" w:ascii="Times New Roman" w:hAnsi="Times New Roman"/>
                <w:sz w:val="28"/>
                <w:szCs w:val="28"/>
              </w:rPr>
            </w:pPr>
          </w:p>
        </w:tc>
      </w:tr>
      <w:tr w14:paraId="044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34D84F5B">
            <w:pPr>
              <w:jc w:val="center"/>
              <w:rPr>
                <w:rFonts w:hint="eastAsia" w:ascii="Times New Roman" w:hAnsi="Times New Roman"/>
                <w:b/>
                <w:bCs/>
                <w:sz w:val="28"/>
                <w:szCs w:val="28"/>
              </w:rPr>
            </w:pPr>
          </w:p>
        </w:tc>
        <w:tc>
          <w:tcPr>
            <w:tcW w:w="993" w:type="dxa"/>
            <w:vAlign w:val="center"/>
          </w:tcPr>
          <w:p w14:paraId="69692482">
            <w:pPr>
              <w:jc w:val="center"/>
              <w:rPr>
                <w:rFonts w:hint="eastAsia" w:ascii="Times New Roman" w:hAnsi="Times New Roman"/>
                <w:b/>
                <w:bCs/>
                <w:sz w:val="28"/>
                <w:szCs w:val="28"/>
              </w:rPr>
            </w:pPr>
            <w:r>
              <w:rPr>
                <w:rFonts w:hint="eastAsia" w:ascii="Times New Roman" w:hAnsi="Times New Roman"/>
                <w:b/>
                <w:bCs/>
                <w:sz w:val="28"/>
                <w:szCs w:val="28"/>
                <w:u w:val="single" w:color="FFFFFF" w:themeColor="background1"/>
              </w:rPr>
              <w:t>期中</w:t>
            </w:r>
            <w:r>
              <w:rPr>
                <w:rFonts w:hint="eastAsia" w:ascii="Times New Roman" w:hAnsi="Times New Roman"/>
                <w:b/>
                <w:bCs/>
                <w:sz w:val="28"/>
                <w:szCs w:val="28"/>
              </w:rPr>
              <w:t>2</w:t>
            </w:r>
            <w:r>
              <w:rPr>
                <w:rFonts w:ascii="Times New Roman" w:hAnsi="Times New Roman"/>
                <w:b/>
                <w:bCs/>
                <w:sz w:val="28"/>
                <w:szCs w:val="28"/>
              </w:rPr>
              <w:t>0%</w:t>
            </w:r>
          </w:p>
        </w:tc>
        <w:tc>
          <w:tcPr>
            <w:tcW w:w="7444" w:type="dxa"/>
            <w:gridSpan w:val="10"/>
            <w:vAlign w:val="center"/>
          </w:tcPr>
          <w:p w14:paraId="1D766C3C">
            <w:pPr>
              <w:spacing w:line="400" w:lineRule="exact"/>
              <w:jc w:val="left"/>
              <w:rPr>
                <w:rFonts w:hint="eastAsia" w:ascii="Times New Roman" w:hAnsi="Times New Roman"/>
                <w:sz w:val="28"/>
                <w:szCs w:val="28"/>
              </w:rPr>
            </w:pPr>
          </w:p>
          <w:p w14:paraId="01AA7B64">
            <w:pPr>
              <w:spacing w:line="400" w:lineRule="exact"/>
              <w:jc w:val="left"/>
              <w:rPr>
                <w:rFonts w:hint="eastAsia" w:ascii="Times New Roman" w:hAnsi="Times New Roman"/>
                <w:sz w:val="28"/>
                <w:szCs w:val="28"/>
              </w:rPr>
            </w:pPr>
            <w:r>
              <w:rPr>
                <w:rFonts w:hint="eastAsia" w:ascii="Times New Roman" w:hAnsi="Times New Roman"/>
                <w:sz w:val="28"/>
                <w:szCs w:val="28"/>
              </w:rPr>
              <w:t>采用闭卷考试形式，考查第一</w:t>
            </w:r>
            <w:r>
              <w:rPr>
                <w:rFonts w:hint="eastAsia" w:ascii="Times New Roman" w:hAnsi="Times New Roman"/>
                <w:sz w:val="28"/>
                <w:szCs w:val="28"/>
                <w:lang w:val="en-US" w:eastAsia="zh-CN"/>
              </w:rPr>
              <w:t>到第四</w:t>
            </w:r>
            <w:r>
              <w:rPr>
                <w:rFonts w:hint="eastAsia" w:ascii="Times New Roman" w:hAnsi="Times New Roman"/>
                <w:sz w:val="28"/>
                <w:szCs w:val="28"/>
              </w:rPr>
              <w:t>单元内容，题型包括选择题、综合题，侧重考查基础知识的掌握程度与基本分析能力，试卷难度系数控制在0.75左右。</w:t>
            </w:r>
          </w:p>
          <w:p w14:paraId="4D90843D">
            <w:pPr>
              <w:spacing w:line="400" w:lineRule="exact"/>
              <w:jc w:val="left"/>
              <w:rPr>
                <w:rFonts w:hint="eastAsia" w:ascii="Times New Roman" w:hAnsi="Times New Roman"/>
                <w:sz w:val="28"/>
                <w:szCs w:val="28"/>
              </w:rPr>
            </w:pPr>
          </w:p>
        </w:tc>
      </w:tr>
      <w:tr w14:paraId="45B1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1ADA2BCD">
            <w:pPr>
              <w:jc w:val="center"/>
              <w:rPr>
                <w:rFonts w:hint="eastAsia" w:ascii="Times New Roman" w:hAnsi="Times New Roman"/>
                <w:b/>
                <w:bCs/>
                <w:sz w:val="28"/>
                <w:szCs w:val="28"/>
              </w:rPr>
            </w:pPr>
          </w:p>
        </w:tc>
        <w:tc>
          <w:tcPr>
            <w:tcW w:w="993" w:type="dxa"/>
            <w:vAlign w:val="center"/>
          </w:tcPr>
          <w:p w14:paraId="3ECF25A0">
            <w:pPr>
              <w:jc w:val="center"/>
              <w:rPr>
                <w:rFonts w:hint="eastAsia" w:ascii="Times New Roman" w:hAnsi="Times New Roman"/>
                <w:b/>
                <w:bCs/>
                <w:sz w:val="28"/>
                <w:szCs w:val="28"/>
              </w:rPr>
            </w:pPr>
            <w:r>
              <w:rPr>
                <w:rFonts w:hint="eastAsia" w:ascii="Times New Roman" w:hAnsi="Times New Roman"/>
                <w:b/>
                <w:bCs/>
                <w:sz w:val="28"/>
                <w:szCs w:val="28"/>
              </w:rPr>
              <w:t>期末</w:t>
            </w: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7786BFA8">
            <w:pPr>
              <w:spacing w:line="400" w:lineRule="exact"/>
              <w:jc w:val="left"/>
              <w:rPr>
                <w:rFonts w:hint="eastAsia" w:ascii="Times New Roman" w:hAnsi="Times New Roman"/>
                <w:sz w:val="28"/>
                <w:szCs w:val="28"/>
              </w:rPr>
            </w:pPr>
          </w:p>
          <w:p w14:paraId="35F1C4C4">
            <w:pPr>
              <w:spacing w:line="400" w:lineRule="exact"/>
              <w:jc w:val="left"/>
              <w:rPr>
                <w:rFonts w:hint="eastAsia" w:ascii="Times New Roman" w:hAnsi="Times New Roman"/>
                <w:sz w:val="28"/>
                <w:szCs w:val="28"/>
              </w:rPr>
            </w:pPr>
            <w:r>
              <w:rPr>
                <w:rFonts w:hint="eastAsia" w:ascii="Times New Roman" w:hAnsi="Times New Roman"/>
                <w:sz w:val="28"/>
                <w:szCs w:val="28"/>
              </w:rPr>
              <w:t>采用闭卷考试形式，考查全册内容，题型涵盖选择题、填空题、综合题，注重考查知识体系的构建、综合思维的运用及理论联系实际的能力，试卷难度系数控制在0.7左右。</w:t>
            </w:r>
          </w:p>
          <w:p w14:paraId="2BE32FE9">
            <w:pPr>
              <w:spacing w:line="400" w:lineRule="exact"/>
              <w:jc w:val="left"/>
              <w:rPr>
                <w:rFonts w:ascii="Times New Roman" w:hAnsi="Times New Roman"/>
                <w:sz w:val="28"/>
                <w:szCs w:val="28"/>
              </w:rPr>
            </w:pPr>
            <w:r>
              <w:rPr>
                <w:rFonts w:hint="eastAsia" w:ascii="Times New Roman" w:hAnsi="Times New Roman"/>
                <w:sz w:val="28"/>
                <w:szCs w:val="28"/>
                <w:lang w:val="en-US" w:eastAsia="zh-CN"/>
              </w:rPr>
              <w:t xml:space="preserve"> </w:t>
            </w:r>
          </w:p>
        </w:tc>
      </w:tr>
    </w:tbl>
    <w:p w14:paraId="03C35D56">
      <w:pPr>
        <w:rPr>
          <w:rFonts w:ascii="Times New Roman" w:hAnsi="Times New Roman"/>
          <w:sz w:val="32"/>
          <w:szCs w:val="32"/>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1700"/>
        <w:gridCol w:w="3671"/>
        <w:gridCol w:w="3558"/>
        <w:gridCol w:w="498"/>
      </w:tblGrid>
      <w:tr w14:paraId="56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962" w:type="dxa"/>
            <w:gridSpan w:val="5"/>
            <w:vAlign w:val="center"/>
          </w:tcPr>
          <w:p w14:paraId="11612480">
            <w:pPr>
              <w:jc w:val="center"/>
              <w:rPr>
                <w:rFonts w:ascii="Times New Roman" w:hAnsi="Times New Roman"/>
                <w:b/>
                <w:bCs/>
                <w:sz w:val="28"/>
                <w:szCs w:val="28"/>
              </w:rPr>
            </w:pPr>
            <w:r>
              <w:rPr>
                <w:rFonts w:hint="eastAsia" w:ascii="Times New Roman" w:hAnsi="Times New Roman"/>
                <w:b/>
                <w:bCs/>
                <w:sz w:val="28"/>
                <w:szCs w:val="28"/>
              </w:rPr>
              <w:t>教学内容及进度安排</w:t>
            </w:r>
          </w:p>
        </w:tc>
      </w:tr>
      <w:tr w14:paraId="7028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5" w:type="dxa"/>
            <w:vAlign w:val="center"/>
          </w:tcPr>
          <w:p w14:paraId="6873DB98">
            <w:pPr>
              <w:jc w:val="center"/>
              <w:rPr>
                <w:rFonts w:ascii="Times New Roman" w:hAnsi="Times New Roman"/>
                <w:b/>
                <w:bCs/>
                <w:sz w:val="28"/>
                <w:szCs w:val="28"/>
              </w:rPr>
            </w:pPr>
            <w:r>
              <w:rPr>
                <w:rFonts w:hint="eastAsia" w:ascii="Times New Roman" w:hAnsi="Times New Roman"/>
                <w:b/>
                <w:bCs/>
                <w:sz w:val="28"/>
                <w:szCs w:val="28"/>
              </w:rPr>
              <w:t>周次</w:t>
            </w:r>
          </w:p>
        </w:tc>
        <w:tc>
          <w:tcPr>
            <w:tcW w:w="1700" w:type="dxa"/>
            <w:vAlign w:val="center"/>
          </w:tcPr>
          <w:p w14:paraId="3FBC5778">
            <w:pPr>
              <w:jc w:val="center"/>
              <w:rPr>
                <w:rFonts w:ascii="Times New Roman" w:hAnsi="Times New Roman"/>
                <w:b/>
                <w:bCs/>
                <w:sz w:val="28"/>
                <w:szCs w:val="28"/>
              </w:rPr>
            </w:pPr>
            <w:r>
              <w:rPr>
                <w:rFonts w:hint="eastAsia" w:ascii="Times New Roman" w:hAnsi="Times New Roman"/>
                <w:b/>
                <w:bCs/>
                <w:sz w:val="28"/>
                <w:szCs w:val="28"/>
              </w:rPr>
              <w:t>时间</w:t>
            </w:r>
          </w:p>
        </w:tc>
        <w:tc>
          <w:tcPr>
            <w:tcW w:w="3671" w:type="dxa"/>
            <w:vAlign w:val="center"/>
          </w:tcPr>
          <w:p w14:paraId="37747D19">
            <w:pPr>
              <w:jc w:val="center"/>
              <w:rPr>
                <w:rFonts w:ascii="Times New Roman" w:hAnsi="Times New Roman"/>
                <w:b/>
                <w:bCs/>
                <w:sz w:val="28"/>
                <w:szCs w:val="28"/>
              </w:rPr>
            </w:pPr>
            <w:r>
              <w:rPr>
                <w:rFonts w:hint="eastAsia" w:ascii="Times New Roman" w:hAnsi="Times New Roman"/>
                <w:b/>
                <w:bCs/>
                <w:sz w:val="28"/>
                <w:szCs w:val="28"/>
              </w:rPr>
              <w:t>课题名称/任务名称</w:t>
            </w:r>
          </w:p>
        </w:tc>
        <w:tc>
          <w:tcPr>
            <w:tcW w:w="3558" w:type="dxa"/>
            <w:vAlign w:val="center"/>
          </w:tcPr>
          <w:p w14:paraId="0AEFEE25">
            <w:pPr>
              <w:jc w:val="center"/>
              <w:rPr>
                <w:rFonts w:ascii="Times New Roman" w:hAnsi="Times New Roman"/>
                <w:b/>
                <w:bCs/>
                <w:sz w:val="28"/>
                <w:szCs w:val="28"/>
              </w:rPr>
            </w:pPr>
            <w:r>
              <w:rPr>
                <w:rFonts w:hint="eastAsia" w:ascii="Times New Roman" w:hAnsi="Times New Roman"/>
                <w:b/>
                <w:bCs/>
                <w:sz w:val="28"/>
                <w:szCs w:val="28"/>
              </w:rPr>
              <w:t>授课内容</w:t>
            </w:r>
          </w:p>
        </w:tc>
        <w:tc>
          <w:tcPr>
            <w:tcW w:w="498" w:type="dxa"/>
            <w:vAlign w:val="center"/>
          </w:tcPr>
          <w:p w14:paraId="318FAE8D">
            <w:pPr>
              <w:jc w:val="center"/>
              <w:rPr>
                <w:rFonts w:ascii="Times New Roman" w:hAnsi="Times New Roman"/>
                <w:b/>
                <w:bCs/>
                <w:sz w:val="28"/>
                <w:szCs w:val="28"/>
              </w:rPr>
            </w:pPr>
            <w:r>
              <w:rPr>
                <w:rFonts w:hint="eastAsia" w:ascii="Times New Roman" w:hAnsi="Times New Roman"/>
                <w:b/>
                <w:bCs/>
                <w:sz w:val="28"/>
                <w:szCs w:val="28"/>
              </w:rPr>
              <w:t>学时</w:t>
            </w:r>
          </w:p>
        </w:tc>
      </w:tr>
      <w:tr w14:paraId="6FDA1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2EEFAE">
            <w:pPr>
              <w:jc w:val="center"/>
              <w:rPr>
                <w:rFonts w:ascii="Times New Roman" w:hAnsi="Times New Roman"/>
                <w:sz w:val="28"/>
                <w:szCs w:val="28"/>
              </w:rPr>
            </w:pPr>
            <w:r>
              <w:rPr>
                <w:rFonts w:hint="eastAsia" w:ascii="Times New Roman" w:hAnsi="Times New Roman"/>
                <w:sz w:val="28"/>
                <w:szCs w:val="28"/>
              </w:rPr>
              <w:t>1</w:t>
            </w:r>
          </w:p>
        </w:tc>
        <w:tc>
          <w:tcPr>
            <w:tcW w:w="1700" w:type="dxa"/>
            <w:vAlign w:val="center"/>
          </w:tcPr>
          <w:p w14:paraId="1CADBAF5">
            <w:pPr>
              <w:jc w:val="center"/>
              <w:rPr>
                <w:rFonts w:hint="default" w:ascii="Times New Roman" w:hAnsi="Times New Roman"/>
                <w:sz w:val="28"/>
                <w:szCs w:val="28"/>
                <w:lang w:val="en-US"/>
              </w:rPr>
            </w:pPr>
            <w:r>
              <w:rPr>
                <w:rFonts w:hint="eastAsia" w:ascii="Times New Roman" w:hAnsi="Times New Roman"/>
                <w:sz w:val="28"/>
                <w:szCs w:val="28"/>
                <w:lang w:val="en-US" w:eastAsia="zh-CN"/>
              </w:rPr>
              <w:t>3.9-3.13</w:t>
            </w:r>
          </w:p>
        </w:tc>
        <w:tc>
          <w:tcPr>
            <w:tcW w:w="3671" w:type="dxa"/>
            <w:vAlign w:val="center"/>
          </w:tcPr>
          <w:p w14:paraId="4FEA0D30">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区域联系与区域发展</w:t>
            </w:r>
          </w:p>
        </w:tc>
        <w:tc>
          <w:tcPr>
            <w:tcW w:w="3558" w:type="dxa"/>
            <w:vAlign w:val="center"/>
          </w:tcPr>
          <w:p w14:paraId="5B8DAA15">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大都市辐射对区域发展的影响——以上海为例</w:t>
            </w:r>
          </w:p>
        </w:tc>
        <w:tc>
          <w:tcPr>
            <w:tcW w:w="498" w:type="dxa"/>
            <w:vAlign w:val="center"/>
          </w:tcPr>
          <w:p w14:paraId="2A0DD611">
            <w:pPr>
              <w:jc w:val="center"/>
              <w:rPr>
                <w:rFonts w:hint="eastAsia" w:ascii="Times New Roman" w:hAnsi="Times New Roman" w:eastAsiaTheme="minorEastAsia"/>
                <w:sz w:val="28"/>
                <w:szCs w:val="28"/>
                <w:lang w:eastAsia="zh-CN"/>
              </w:rPr>
            </w:pPr>
            <w:r>
              <w:rPr>
                <w:rFonts w:hint="eastAsia" w:ascii="Times New Roman" w:hAnsi="Times New Roman"/>
                <w:sz w:val="28"/>
                <w:szCs w:val="28"/>
                <w:lang w:val="en-US" w:eastAsia="zh-CN"/>
              </w:rPr>
              <w:t>3</w:t>
            </w:r>
          </w:p>
        </w:tc>
      </w:tr>
      <w:tr w14:paraId="613E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2FB65E">
            <w:pPr>
              <w:jc w:val="center"/>
              <w:rPr>
                <w:rFonts w:ascii="Times New Roman" w:hAnsi="Times New Roman"/>
                <w:sz w:val="28"/>
                <w:szCs w:val="28"/>
              </w:rPr>
            </w:pPr>
            <w:r>
              <w:rPr>
                <w:rFonts w:hint="eastAsia" w:ascii="Times New Roman" w:hAnsi="Times New Roman"/>
                <w:sz w:val="28"/>
                <w:szCs w:val="28"/>
              </w:rPr>
              <w:t>2</w:t>
            </w:r>
          </w:p>
        </w:tc>
        <w:tc>
          <w:tcPr>
            <w:tcW w:w="1700" w:type="dxa"/>
            <w:vAlign w:val="center"/>
          </w:tcPr>
          <w:p w14:paraId="4073ECA5">
            <w:pPr>
              <w:jc w:val="center"/>
              <w:rPr>
                <w:rFonts w:hint="default" w:ascii="Times New Roman" w:hAnsi="Times New Roman"/>
                <w:sz w:val="28"/>
                <w:szCs w:val="28"/>
                <w:lang w:val="en-US"/>
              </w:rPr>
            </w:pPr>
            <w:r>
              <w:rPr>
                <w:rFonts w:hint="eastAsia" w:ascii="Times New Roman" w:hAnsi="Times New Roman"/>
                <w:sz w:val="28"/>
                <w:szCs w:val="28"/>
                <w:lang w:val="en-US" w:eastAsia="zh-CN"/>
              </w:rPr>
              <w:t>3.16-3.20</w:t>
            </w:r>
          </w:p>
        </w:tc>
        <w:tc>
          <w:tcPr>
            <w:tcW w:w="3671" w:type="dxa"/>
            <w:vAlign w:val="center"/>
          </w:tcPr>
          <w:p w14:paraId="3A4A4E22">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区域联系与区域发展</w:t>
            </w:r>
          </w:p>
        </w:tc>
        <w:tc>
          <w:tcPr>
            <w:tcW w:w="3558" w:type="dxa"/>
            <w:vAlign w:val="center"/>
          </w:tcPr>
          <w:p w14:paraId="7AA517EA">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产业转移对区域发展的的影响——以亚太地区为例</w:t>
            </w:r>
          </w:p>
        </w:tc>
        <w:tc>
          <w:tcPr>
            <w:tcW w:w="498" w:type="dxa"/>
            <w:vAlign w:val="center"/>
          </w:tcPr>
          <w:p w14:paraId="6B3EBF4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1D0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46FCB0">
            <w:pPr>
              <w:jc w:val="center"/>
              <w:rPr>
                <w:rFonts w:ascii="Times New Roman" w:hAnsi="Times New Roman"/>
                <w:sz w:val="28"/>
                <w:szCs w:val="28"/>
              </w:rPr>
            </w:pPr>
            <w:r>
              <w:rPr>
                <w:rFonts w:hint="eastAsia" w:ascii="Times New Roman" w:hAnsi="Times New Roman"/>
                <w:sz w:val="28"/>
                <w:szCs w:val="28"/>
              </w:rPr>
              <w:t>3</w:t>
            </w:r>
          </w:p>
        </w:tc>
        <w:tc>
          <w:tcPr>
            <w:tcW w:w="1700" w:type="dxa"/>
            <w:vAlign w:val="center"/>
          </w:tcPr>
          <w:p w14:paraId="3D58B60B">
            <w:pPr>
              <w:jc w:val="center"/>
              <w:rPr>
                <w:rFonts w:hint="default" w:ascii="Times New Roman" w:hAnsi="Times New Roman"/>
                <w:sz w:val="28"/>
                <w:szCs w:val="28"/>
                <w:lang w:val="en-US"/>
              </w:rPr>
            </w:pPr>
            <w:r>
              <w:rPr>
                <w:rFonts w:hint="eastAsia" w:ascii="Times New Roman" w:hAnsi="Times New Roman"/>
                <w:sz w:val="28"/>
                <w:szCs w:val="28"/>
                <w:lang w:val="en-US" w:eastAsia="zh-CN"/>
              </w:rPr>
              <w:t>3.23-3.27</w:t>
            </w:r>
          </w:p>
        </w:tc>
        <w:tc>
          <w:tcPr>
            <w:tcW w:w="3671" w:type="dxa"/>
            <w:vAlign w:val="center"/>
          </w:tcPr>
          <w:p w14:paraId="0F4C9020">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区域联系与区域发展</w:t>
            </w:r>
          </w:p>
        </w:tc>
        <w:tc>
          <w:tcPr>
            <w:tcW w:w="3558" w:type="dxa"/>
            <w:vAlign w:val="center"/>
          </w:tcPr>
          <w:p w14:paraId="44945028">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资源跨区域调配对区域发展的影响——以我国南水北调为例;单元活动:分析区域联系</w:t>
            </w:r>
          </w:p>
        </w:tc>
        <w:tc>
          <w:tcPr>
            <w:tcW w:w="498" w:type="dxa"/>
            <w:vAlign w:val="center"/>
          </w:tcPr>
          <w:p w14:paraId="05D7C5E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87E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D42B0A">
            <w:pPr>
              <w:jc w:val="center"/>
              <w:rPr>
                <w:rFonts w:ascii="Times New Roman" w:hAnsi="Times New Roman"/>
                <w:sz w:val="28"/>
                <w:szCs w:val="28"/>
              </w:rPr>
            </w:pPr>
            <w:r>
              <w:rPr>
                <w:rFonts w:hint="eastAsia" w:ascii="Times New Roman" w:hAnsi="Times New Roman"/>
                <w:sz w:val="28"/>
                <w:szCs w:val="28"/>
              </w:rPr>
              <w:t>4</w:t>
            </w:r>
          </w:p>
        </w:tc>
        <w:tc>
          <w:tcPr>
            <w:tcW w:w="1700" w:type="dxa"/>
            <w:vAlign w:val="center"/>
          </w:tcPr>
          <w:p w14:paraId="7683F360">
            <w:pPr>
              <w:jc w:val="center"/>
              <w:rPr>
                <w:rFonts w:hint="default" w:ascii="Times New Roman" w:hAnsi="Times New Roman"/>
                <w:sz w:val="28"/>
                <w:szCs w:val="28"/>
                <w:lang w:val="en-US"/>
              </w:rPr>
            </w:pPr>
            <w:r>
              <w:rPr>
                <w:rFonts w:hint="eastAsia" w:ascii="Times New Roman" w:hAnsi="Times New Roman"/>
                <w:sz w:val="28"/>
                <w:szCs w:val="28"/>
                <w:lang w:val="en-US" w:eastAsia="zh-CN"/>
              </w:rPr>
              <w:t>3.30-4.3</w:t>
            </w:r>
          </w:p>
        </w:tc>
        <w:tc>
          <w:tcPr>
            <w:tcW w:w="3671" w:type="dxa"/>
            <w:vAlign w:val="center"/>
          </w:tcPr>
          <w:p w14:paraId="3F1C946C">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资源协调发展</w:t>
            </w:r>
          </w:p>
        </w:tc>
        <w:tc>
          <w:tcPr>
            <w:tcW w:w="3558" w:type="dxa"/>
            <w:vAlign w:val="center"/>
          </w:tcPr>
          <w:p w14:paraId="42DD0AEA">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区域协调发展的内涵和意义</w:t>
            </w:r>
          </w:p>
        </w:tc>
        <w:tc>
          <w:tcPr>
            <w:tcW w:w="498" w:type="dxa"/>
            <w:vAlign w:val="center"/>
          </w:tcPr>
          <w:p w14:paraId="585B0FE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EE4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8D36A6">
            <w:pPr>
              <w:jc w:val="center"/>
              <w:rPr>
                <w:rFonts w:ascii="Times New Roman" w:hAnsi="Times New Roman"/>
                <w:sz w:val="28"/>
                <w:szCs w:val="28"/>
              </w:rPr>
            </w:pPr>
            <w:r>
              <w:rPr>
                <w:rFonts w:hint="eastAsia" w:ascii="Times New Roman" w:hAnsi="Times New Roman"/>
                <w:sz w:val="28"/>
                <w:szCs w:val="28"/>
              </w:rPr>
              <w:t>5</w:t>
            </w:r>
          </w:p>
        </w:tc>
        <w:tc>
          <w:tcPr>
            <w:tcW w:w="1700" w:type="dxa"/>
            <w:vAlign w:val="center"/>
          </w:tcPr>
          <w:p w14:paraId="4376274A">
            <w:pPr>
              <w:jc w:val="center"/>
              <w:rPr>
                <w:rFonts w:hint="default" w:ascii="Times New Roman" w:hAnsi="Times New Roman"/>
                <w:sz w:val="28"/>
                <w:szCs w:val="28"/>
                <w:lang w:val="en-US"/>
              </w:rPr>
            </w:pPr>
            <w:r>
              <w:rPr>
                <w:rFonts w:hint="eastAsia" w:ascii="Times New Roman" w:hAnsi="Times New Roman"/>
                <w:sz w:val="28"/>
                <w:szCs w:val="28"/>
                <w:lang w:val="en-US" w:eastAsia="zh-CN"/>
              </w:rPr>
              <w:t>4.6-4.10</w:t>
            </w:r>
          </w:p>
        </w:tc>
        <w:tc>
          <w:tcPr>
            <w:tcW w:w="3671" w:type="dxa"/>
            <w:vAlign w:val="center"/>
          </w:tcPr>
          <w:p w14:paraId="26CE2970">
            <w:pPr>
              <w:spacing w:line="40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资源协调发展</w:t>
            </w:r>
          </w:p>
        </w:tc>
        <w:tc>
          <w:tcPr>
            <w:tcW w:w="3558" w:type="dxa"/>
            <w:vAlign w:val="center"/>
          </w:tcPr>
          <w:p w14:paraId="08C183CE">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区域内部的协作发展——以尼罗河流域为例</w:t>
            </w:r>
          </w:p>
        </w:tc>
        <w:tc>
          <w:tcPr>
            <w:tcW w:w="498" w:type="dxa"/>
            <w:vAlign w:val="center"/>
          </w:tcPr>
          <w:p w14:paraId="187C981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CC0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376147A">
            <w:pPr>
              <w:jc w:val="center"/>
              <w:rPr>
                <w:rFonts w:ascii="Times New Roman" w:hAnsi="Times New Roman"/>
                <w:sz w:val="28"/>
                <w:szCs w:val="28"/>
              </w:rPr>
            </w:pPr>
            <w:r>
              <w:rPr>
                <w:rFonts w:hint="eastAsia" w:ascii="Times New Roman" w:hAnsi="Times New Roman"/>
                <w:sz w:val="28"/>
                <w:szCs w:val="28"/>
              </w:rPr>
              <w:t>6</w:t>
            </w:r>
          </w:p>
        </w:tc>
        <w:tc>
          <w:tcPr>
            <w:tcW w:w="1700" w:type="dxa"/>
            <w:vAlign w:val="center"/>
          </w:tcPr>
          <w:p w14:paraId="33FC554D">
            <w:pPr>
              <w:jc w:val="center"/>
              <w:rPr>
                <w:rFonts w:hint="default" w:ascii="Times New Roman" w:hAnsi="Times New Roman"/>
                <w:sz w:val="28"/>
                <w:szCs w:val="28"/>
                <w:lang w:val="en-US"/>
              </w:rPr>
            </w:pPr>
            <w:r>
              <w:rPr>
                <w:rFonts w:hint="eastAsia" w:ascii="Times New Roman" w:hAnsi="Times New Roman"/>
                <w:sz w:val="28"/>
                <w:szCs w:val="28"/>
                <w:lang w:val="en-US" w:eastAsia="zh-CN"/>
              </w:rPr>
              <w:t>4.13-4.17</w:t>
            </w:r>
          </w:p>
        </w:tc>
        <w:tc>
          <w:tcPr>
            <w:tcW w:w="3671" w:type="dxa"/>
            <w:vAlign w:val="center"/>
          </w:tcPr>
          <w:p w14:paraId="726141A9">
            <w:pPr>
              <w:spacing w:line="400" w:lineRule="exact"/>
              <w:jc w:val="center"/>
              <w:rPr>
                <w:rFonts w:hint="default" w:ascii="Times New Roman" w:hAnsi="Times New Roman"/>
                <w:sz w:val="28"/>
                <w:szCs w:val="28"/>
                <w:lang w:val="en-US"/>
              </w:rPr>
            </w:pPr>
            <w:r>
              <w:rPr>
                <w:rFonts w:hint="eastAsia" w:ascii="Times New Roman" w:hAnsi="Times New Roman"/>
                <w:sz w:val="28"/>
                <w:szCs w:val="28"/>
                <w:lang w:val="en-US" w:eastAsia="zh-CN"/>
              </w:rPr>
              <w:t>资源协调发展</w:t>
            </w:r>
          </w:p>
        </w:tc>
        <w:tc>
          <w:tcPr>
            <w:tcW w:w="3558" w:type="dxa"/>
            <w:vAlign w:val="center"/>
          </w:tcPr>
          <w:p w14:paraId="7481ED2D">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国家之间的合作发展——“以一带一路为例”;单元活动：探究区域综合开发与治理</w:t>
            </w:r>
          </w:p>
        </w:tc>
        <w:tc>
          <w:tcPr>
            <w:tcW w:w="498" w:type="dxa"/>
            <w:vAlign w:val="center"/>
          </w:tcPr>
          <w:p w14:paraId="43A3C4C7">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6DD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F9B9A4">
            <w:pPr>
              <w:jc w:val="center"/>
              <w:rPr>
                <w:rFonts w:ascii="Times New Roman" w:hAnsi="Times New Roman"/>
                <w:sz w:val="28"/>
                <w:szCs w:val="28"/>
              </w:rPr>
            </w:pPr>
            <w:r>
              <w:rPr>
                <w:rFonts w:hint="eastAsia" w:ascii="Times New Roman" w:hAnsi="Times New Roman"/>
                <w:sz w:val="28"/>
                <w:szCs w:val="28"/>
              </w:rPr>
              <w:t>7</w:t>
            </w:r>
          </w:p>
        </w:tc>
        <w:tc>
          <w:tcPr>
            <w:tcW w:w="1700" w:type="dxa"/>
            <w:vAlign w:val="center"/>
          </w:tcPr>
          <w:p w14:paraId="00539CCD">
            <w:pPr>
              <w:jc w:val="center"/>
              <w:rPr>
                <w:rFonts w:hint="default" w:ascii="Times New Roman" w:hAnsi="Times New Roman"/>
                <w:sz w:val="28"/>
                <w:szCs w:val="28"/>
                <w:lang w:val="en-US"/>
              </w:rPr>
            </w:pPr>
            <w:r>
              <w:rPr>
                <w:rFonts w:hint="eastAsia" w:ascii="Times New Roman" w:hAnsi="Times New Roman"/>
                <w:sz w:val="28"/>
                <w:szCs w:val="28"/>
                <w:lang w:val="en-US" w:eastAsia="zh-CN"/>
              </w:rPr>
              <w:t>4.20-4.24</w:t>
            </w:r>
          </w:p>
        </w:tc>
        <w:tc>
          <w:tcPr>
            <w:tcW w:w="3671" w:type="dxa"/>
            <w:vAlign w:val="center"/>
          </w:tcPr>
          <w:p w14:paraId="22B31E3F">
            <w:pPr>
              <w:spacing w:line="40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期中复习</w:t>
            </w:r>
          </w:p>
        </w:tc>
        <w:tc>
          <w:tcPr>
            <w:tcW w:w="3558" w:type="dxa"/>
            <w:vAlign w:val="center"/>
          </w:tcPr>
          <w:p w14:paraId="1F9C54D3">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查漏补缺</w:t>
            </w:r>
          </w:p>
        </w:tc>
        <w:tc>
          <w:tcPr>
            <w:tcW w:w="498" w:type="dxa"/>
            <w:vAlign w:val="center"/>
          </w:tcPr>
          <w:p w14:paraId="19888ED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C9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E5B1780">
            <w:pPr>
              <w:jc w:val="center"/>
              <w:rPr>
                <w:rFonts w:ascii="Times New Roman" w:hAnsi="Times New Roman"/>
                <w:sz w:val="28"/>
                <w:szCs w:val="28"/>
              </w:rPr>
            </w:pPr>
            <w:r>
              <w:rPr>
                <w:rFonts w:hint="eastAsia" w:ascii="Times New Roman" w:hAnsi="Times New Roman"/>
                <w:sz w:val="28"/>
                <w:szCs w:val="28"/>
              </w:rPr>
              <w:t>8</w:t>
            </w:r>
          </w:p>
        </w:tc>
        <w:tc>
          <w:tcPr>
            <w:tcW w:w="1700" w:type="dxa"/>
            <w:vAlign w:val="center"/>
          </w:tcPr>
          <w:p w14:paraId="27A1545B">
            <w:pPr>
              <w:jc w:val="center"/>
              <w:rPr>
                <w:rFonts w:hint="default" w:ascii="Times New Roman" w:hAnsi="Times New Roman"/>
                <w:sz w:val="28"/>
                <w:szCs w:val="28"/>
                <w:lang w:val="en-US"/>
              </w:rPr>
            </w:pPr>
            <w:r>
              <w:rPr>
                <w:rFonts w:hint="eastAsia" w:ascii="Times New Roman" w:hAnsi="Times New Roman"/>
                <w:sz w:val="28"/>
                <w:szCs w:val="28"/>
                <w:lang w:val="en-US" w:eastAsia="zh-CN"/>
              </w:rPr>
              <w:t>4.27-5.1</w:t>
            </w:r>
          </w:p>
        </w:tc>
        <w:tc>
          <w:tcPr>
            <w:tcW w:w="3671" w:type="dxa"/>
            <w:tcBorders>
              <w:top w:val="single" w:color="auto" w:sz="4" w:space="0"/>
              <w:left w:val="single" w:color="auto" w:sz="4" w:space="0"/>
              <w:bottom w:val="single" w:color="auto" w:sz="4" w:space="0"/>
              <w:right w:val="single" w:color="auto" w:sz="4" w:space="0"/>
            </w:tcBorders>
            <w:vAlign w:val="center"/>
          </w:tcPr>
          <w:p w14:paraId="41C23FF9">
            <w:pPr>
              <w:spacing w:line="400" w:lineRule="exact"/>
              <w:jc w:val="center"/>
              <w:rPr>
                <w:rFonts w:hint="default" w:ascii="Times New Roman" w:hAnsi="Times New Roman"/>
                <w:sz w:val="28"/>
                <w:szCs w:val="28"/>
                <w:lang w:val="en-US"/>
              </w:rPr>
            </w:pPr>
            <w:r>
              <w:rPr>
                <w:rFonts w:hint="eastAsia" w:ascii="Times New Roman" w:hAnsi="Times New Roman"/>
                <w:sz w:val="28"/>
                <w:szCs w:val="28"/>
                <w:lang w:val="en-US" w:eastAsia="zh-CN"/>
              </w:rPr>
              <w:t>期中考试</w:t>
            </w:r>
          </w:p>
        </w:tc>
        <w:tc>
          <w:tcPr>
            <w:tcW w:w="3558" w:type="dxa"/>
            <w:tcBorders>
              <w:top w:val="single" w:color="auto" w:sz="4" w:space="0"/>
              <w:left w:val="single" w:color="auto" w:sz="4" w:space="0"/>
              <w:bottom w:val="single" w:color="auto" w:sz="4" w:space="0"/>
              <w:right w:val="single" w:color="auto" w:sz="4" w:space="0"/>
            </w:tcBorders>
            <w:vAlign w:val="center"/>
          </w:tcPr>
          <w:p w14:paraId="344843D4">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检测掌握情况</w:t>
            </w:r>
          </w:p>
        </w:tc>
        <w:tc>
          <w:tcPr>
            <w:tcW w:w="498" w:type="dxa"/>
            <w:vAlign w:val="center"/>
          </w:tcPr>
          <w:p w14:paraId="13067BD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220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535" w:type="dxa"/>
            <w:vAlign w:val="center"/>
          </w:tcPr>
          <w:p w14:paraId="09E86D5E">
            <w:pPr>
              <w:jc w:val="center"/>
              <w:rPr>
                <w:rFonts w:ascii="Times New Roman" w:hAnsi="Times New Roman"/>
                <w:sz w:val="28"/>
                <w:szCs w:val="28"/>
              </w:rPr>
            </w:pPr>
            <w:r>
              <w:rPr>
                <w:rFonts w:hint="eastAsia" w:ascii="Times New Roman" w:hAnsi="Times New Roman"/>
                <w:sz w:val="28"/>
                <w:szCs w:val="28"/>
              </w:rPr>
              <w:t>9</w:t>
            </w:r>
          </w:p>
        </w:tc>
        <w:tc>
          <w:tcPr>
            <w:tcW w:w="1700" w:type="dxa"/>
            <w:vAlign w:val="center"/>
          </w:tcPr>
          <w:p w14:paraId="34B875A8">
            <w:pPr>
              <w:jc w:val="center"/>
              <w:rPr>
                <w:rFonts w:hint="default" w:ascii="Times New Roman" w:hAnsi="Times New Roman"/>
                <w:sz w:val="28"/>
                <w:szCs w:val="28"/>
                <w:lang w:val="en-US"/>
              </w:rPr>
            </w:pPr>
            <w:r>
              <w:rPr>
                <w:rFonts w:hint="eastAsia" w:ascii="Times New Roman" w:hAnsi="Times New Roman"/>
                <w:sz w:val="28"/>
                <w:szCs w:val="28"/>
                <w:lang w:val="en-US" w:eastAsia="zh-CN"/>
              </w:rPr>
              <w:t>5.4-5-8</w:t>
            </w:r>
          </w:p>
        </w:tc>
        <w:tc>
          <w:tcPr>
            <w:tcW w:w="3671" w:type="dxa"/>
            <w:tcBorders>
              <w:top w:val="single" w:color="auto" w:sz="4" w:space="0"/>
              <w:left w:val="single" w:color="auto" w:sz="4" w:space="0"/>
              <w:bottom w:val="single" w:color="auto" w:sz="4" w:space="0"/>
              <w:right w:val="single" w:color="auto" w:sz="4" w:space="0"/>
            </w:tcBorders>
            <w:vAlign w:val="center"/>
          </w:tcPr>
          <w:p w14:paraId="488FD225">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自然资源与国家安全</w:t>
            </w:r>
          </w:p>
        </w:tc>
        <w:tc>
          <w:tcPr>
            <w:tcW w:w="3558" w:type="dxa"/>
            <w:tcBorders>
              <w:top w:val="single" w:color="auto" w:sz="4" w:space="0"/>
              <w:left w:val="single" w:color="auto" w:sz="4" w:space="0"/>
              <w:bottom w:val="single" w:color="auto" w:sz="4" w:space="0"/>
              <w:right w:val="single" w:color="auto" w:sz="4" w:space="0"/>
            </w:tcBorders>
            <w:shd w:val="clear" w:color="auto" w:fill="auto"/>
            <w:vAlign w:val="center"/>
          </w:tcPr>
          <w:p w14:paraId="0CF782B5">
            <w:pPr>
              <w:numPr>
                <w:ilvl w:val="0"/>
                <w:numId w:val="0"/>
              </w:numPr>
              <w:spacing w:line="400" w:lineRule="exact"/>
              <w:ind w:left="0" w:leftChars="0" w:firstLine="0" w:firstLineChars="0"/>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自然资源与人类活动</w:t>
            </w:r>
          </w:p>
        </w:tc>
        <w:tc>
          <w:tcPr>
            <w:tcW w:w="498" w:type="dxa"/>
            <w:vAlign w:val="center"/>
          </w:tcPr>
          <w:p w14:paraId="7A6BBC3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69E5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463B13D">
            <w:pPr>
              <w:jc w:val="center"/>
              <w:rPr>
                <w:rFonts w:ascii="Times New Roman" w:hAnsi="Times New Roman"/>
                <w:sz w:val="28"/>
                <w:szCs w:val="28"/>
              </w:rPr>
            </w:pPr>
            <w:r>
              <w:rPr>
                <w:rFonts w:hint="eastAsia" w:ascii="Times New Roman" w:hAnsi="Times New Roman"/>
                <w:sz w:val="28"/>
                <w:szCs w:val="28"/>
              </w:rPr>
              <w:t>10</w:t>
            </w:r>
          </w:p>
        </w:tc>
        <w:tc>
          <w:tcPr>
            <w:tcW w:w="1700" w:type="dxa"/>
            <w:vAlign w:val="center"/>
          </w:tcPr>
          <w:p w14:paraId="4F933D10">
            <w:pPr>
              <w:jc w:val="center"/>
              <w:rPr>
                <w:rFonts w:hint="default" w:ascii="Times New Roman" w:hAnsi="Times New Roman"/>
                <w:sz w:val="28"/>
                <w:szCs w:val="28"/>
                <w:lang w:val="en-US"/>
              </w:rPr>
            </w:pPr>
            <w:r>
              <w:rPr>
                <w:rFonts w:hint="eastAsia" w:ascii="Times New Roman" w:hAnsi="Times New Roman"/>
                <w:sz w:val="28"/>
                <w:szCs w:val="28"/>
                <w:lang w:val="en-US" w:eastAsia="zh-CN"/>
              </w:rPr>
              <w:t>5.11-5.15</w:t>
            </w:r>
          </w:p>
        </w:tc>
        <w:tc>
          <w:tcPr>
            <w:tcW w:w="3671" w:type="dxa"/>
            <w:tcBorders>
              <w:top w:val="single" w:color="auto" w:sz="4" w:space="0"/>
              <w:left w:val="single" w:color="auto" w:sz="4" w:space="0"/>
              <w:bottom w:val="single" w:color="auto" w:sz="4" w:space="0"/>
              <w:right w:val="single" w:color="auto" w:sz="4" w:space="0"/>
            </w:tcBorders>
            <w:vAlign w:val="center"/>
          </w:tcPr>
          <w:p w14:paraId="61B42437">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自然资源与国家安全</w:t>
            </w:r>
          </w:p>
        </w:tc>
        <w:tc>
          <w:tcPr>
            <w:tcW w:w="3558" w:type="dxa"/>
            <w:tcBorders>
              <w:top w:val="single" w:color="auto" w:sz="4" w:space="0"/>
              <w:left w:val="single" w:color="auto" w:sz="4" w:space="0"/>
              <w:bottom w:val="single" w:color="auto" w:sz="4" w:space="0"/>
              <w:right w:val="single" w:color="auto" w:sz="4" w:space="0"/>
            </w:tcBorders>
            <w:shd w:val="clear" w:color="auto" w:fill="auto"/>
            <w:vAlign w:val="center"/>
          </w:tcPr>
          <w:p w14:paraId="1758089A">
            <w:pPr>
              <w:numPr>
                <w:ilvl w:val="0"/>
                <w:numId w:val="0"/>
              </w:numPr>
              <w:spacing w:line="400" w:lineRule="exact"/>
              <w:ind w:left="0" w:leftChars="0" w:firstLine="0" w:firstLineChars="0"/>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 xml:space="preserve"> 石油与国家安全</w:t>
            </w:r>
          </w:p>
        </w:tc>
        <w:tc>
          <w:tcPr>
            <w:tcW w:w="498" w:type="dxa"/>
            <w:vAlign w:val="center"/>
          </w:tcPr>
          <w:p w14:paraId="62336CE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0D49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21ABEF9">
            <w:pPr>
              <w:jc w:val="center"/>
              <w:rPr>
                <w:rFonts w:hint="eastAsia" w:ascii="Times New Roman" w:hAnsi="Times New Roman"/>
                <w:sz w:val="28"/>
                <w:szCs w:val="28"/>
              </w:rPr>
            </w:pPr>
            <w:r>
              <w:rPr>
                <w:rFonts w:hint="eastAsia" w:ascii="Times New Roman" w:hAnsi="Times New Roman"/>
                <w:sz w:val="28"/>
                <w:szCs w:val="28"/>
              </w:rPr>
              <w:t>11</w:t>
            </w:r>
          </w:p>
        </w:tc>
        <w:tc>
          <w:tcPr>
            <w:tcW w:w="1700" w:type="dxa"/>
            <w:vAlign w:val="center"/>
          </w:tcPr>
          <w:p w14:paraId="70EC39BE">
            <w:pPr>
              <w:jc w:val="center"/>
              <w:rPr>
                <w:rFonts w:hint="default" w:ascii="Times New Roman" w:hAnsi="Times New Roman"/>
                <w:sz w:val="28"/>
                <w:szCs w:val="28"/>
                <w:lang w:val="en-US" w:eastAsia="zh-CN"/>
              </w:rPr>
            </w:pPr>
            <w:r>
              <w:rPr>
                <w:rFonts w:hint="eastAsia" w:ascii="Times New Roman" w:hAnsi="Times New Roman"/>
                <w:sz w:val="28"/>
                <w:szCs w:val="28"/>
                <w:lang w:val="en-US" w:eastAsia="zh-CN"/>
              </w:rPr>
              <w:t>5.18-5.22</w:t>
            </w:r>
          </w:p>
        </w:tc>
        <w:tc>
          <w:tcPr>
            <w:tcW w:w="3671" w:type="dxa"/>
            <w:tcBorders>
              <w:top w:val="single" w:color="auto" w:sz="4" w:space="0"/>
              <w:left w:val="single" w:color="auto" w:sz="4" w:space="0"/>
              <w:bottom w:val="single" w:color="auto" w:sz="4" w:space="0"/>
              <w:right w:val="single" w:color="auto" w:sz="4" w:space="0"/>
            </w:tcBorders>
            <w:vAlign w:val="center"/>
          </w:tcPr>
          <w:p w14:paraId="416B1199">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自然资源与国家安全</w:t>
            </w:r>
          </w:p>
        </w:tc>
        <w:tc>
          <w:tcPr>
            <w:tcW w:w="3558" w:type="dxa"/>
            <w:tcBorders>
              <w:top w:val="single" w:color="auto" w:sz="4" w:space="0"/>
              <w:left w:val="single" w:color="auto" w:sz="4" w:space="0"/>
              <w:bottom w:val="single" w:color="auto" w:sz="4" w:space="0"/>
              <w:right w:val="single" w:color="auto" w:sz="4" w:space="0"/>
            </w:tcBorders>
            <w:vAlign w:val="center"/>
          </w:tcPr>
          <w:p w14:paraId="5F601EF9">
            <w:pPr>
              <w:numPr>
                <w:ilvl w:val="0"/>
                <w:numId w:val="0"/>
              </w:num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耕地与粮食安全</w:t>
            </w:r>
          </w:p>
        </w:tc>
        <w:tc>
          <w:tcPr>
            <w:tcW w:w="498" w:type="dxa"/>
            <w:vAlign w:val="center"/>
          </w:tcPr>
          <w:p w14:paraId="4398F23F">
            <w:pPr>
              <w:jc w:val="center"/>
              <w:rPr>
                <w:rFonts w:hint="default" w:ascii="Times New Roman" w:hAnsi="Times New Roman"/>
                <w:sz w:val="28"/>
                <w:szCs w:val="28"/>
                <w:lang w:val="en-US" w:eastAsia="zh-CN"/>
              </w:rPr>
            </w:pPr>
            <w:r>
              <w:rPr>
                <w:rFonts w:hint="eastAsia" w:ascii="Times New Roman" w:hAnsi="Times New Roman"/>
                <w:sz w:val="28"/>
                <w:szCs w:val="28"/>
                <w:lang w:val="en-US" w:eastAsia="zh-CN"/>
              </w:rPr>
              <w:t>3</w:t>
            </w:r>
          </w:p>
        </w:tc>
      </w:tr>
      <w:tr w14:paraId="2E9D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DE3D760">
            <w:pPr>
              <w:jc w:val="center"/>
              <w:rPr>
                <w:rFonts w:ascii="Times New Roman" w:hAnsi="Times New Roman"/>
                <w:sz w:val="28"/>
                <w:szCs w:val="28"/>
              </w:rPr>
            </w:pPr>
            <w:r>
              <w:rPr>
                <w:rFonts w:hint="eastAsia" w:ascii="Times New Roman" w:hAnsi="Times New Roman"/>
                <w:sz w:val="28"/>
                <w:szCs w:val="28"/>
              </w:rPr>
              <w:t>12</w:t>
            </w:r>
          </w:p>
        </w:tc>
        <w:tc>
          <w:tcPr>
            <w:tcW w:w="1700" w:type="dxa"/>
            <w:vAlign w:val="center"/>
          </w:tcPr>
          <w:p w14:paraId="78CA2DE7">
            <w:pPr>
              <w:jc w:val="center"/>
              <w:rPr>
                <w:rFonts w:hint="default" w:ascii="Times New Roman" w:hAnsi="Times New Roman"/>
                <w:sz w:val="28"/>
                <w:szCs w:val="28"/>
                <w:lang w:val="en-US"/>
              </w:rPr>
            </w:pPr>
            <w:r>
              <w:rPr>
                <w:rFonts w:hint="eastAsia" w:ascii="Times New Roman" w:hAnsi="Times New Roman"/>
                <w:sz w:val="28"/>
                <w:szCs w:val="28"/>
                <w:lang w:val="en-US" w:eastAsia="zh-CN"/>
              </w:rPr>
              <w:t>5.25-5.29</w:t>
            </w:r>
          </w:p>
        </w:tc>
        <w:tc>
          <w:tcPr>
            <w:tcW w:w="3671" w:type="dxa"/>
            <w:tcBorders>
              <w:top w:val="single" w:color="auto" w:sz="4" w:space="0"/>
              <w:left w:val="single" w:color="auto" w:sz="4" w:space="0"/>
              <w:bottom w:val="single" w:color="auto" w:sz="4" w:space="0"/>
              <w:right w:val="single" w:color="auto" w:sz="4" w:space="0"/>
            </w:tcBorders>
            <w:vAlign w:val="center"/>
          </w:tcPr>
          <w:p w14:paraId="359FA1F1">
            <w:pPr>
              <w:spacing w:line="400" w:lineRule="exact"/>
              <w:jc w:val="center"/>
              <w:rPr>
                <w:rFonts w:hint="default" w:ascii="Times New Roman" w:hAnsi="Times New Roman"/>
                <w:sz w:val="28"/>
                <w:szCs w:val="28"/>
                <w:lang w:val="en-US" w:eastAsia="zh-CN"/>
              </w:rPr>
            </w:pPr>
            <w:r>
              <w:rPr>
                <w:rFonts w:hint="eastAsia" w:ascii="Times New Roman" w:hAnsi="Times New Roman"/>
                <w:sz w:val="28"/>
                <w:szCs w:val="28"/>
                <w:lang w:val="en-US" w:eastAsia="zh-CN"/>
              </w:rPr>
              <w:t>自然资源与国家安全</w:t>
            </w:r>
          </w:p>
        </w:tc>
        <w:tc>
          <w:tcPr>
            <w:tcW w:w="3558" w:type="dxa"/>
            <w:tcBorders>
              <w:top w:val="single" w:color="auto" w:sz="4" w:space="0"/>
              <w:left w:val="single" w:color="auto" w:sz="4" w:space="0"/>
              <w:bottom w:val="single" w:color="auto" w:sz="4" w:space="0"/>
              <w:right w:val="single" w:color="auto" w:sz="4" w:space="0"/>
            </w:tcBorders>
            <w:vAlign w:val="center"/>
          </w:tcPr>
          <w:p w14:paraId="24B9D6DC">
            <w:pPr>
              <w:numPr>
                <w:ilvl w:val="0"/>
                <w:numId w:val="0"/>
              </w:num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sz w:val="28"/>
                <w:szCs w:val="28"/>
                <w:lang w:val="en-US" w:eastAsia="zh-CN"/>
              </w:rPr>
              <w:t>海洋空间资源与国家安全；单元活动：践行绿色发展</w:t>
            </w:r>
          </w:p>
        </w:tc>
        <w:tc>
          <w:tcPr>
            <w:tcW w:w="498" w:type="dxa"/>
            <w:vAlign w:val="center"/>
          </w:tcPr>
          <w:p w14:paraId="7626191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EC8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CE07DF">
            <w:pPr>
              <w:jc w:val="center"/>
              <w:rPr>
                <w:rFonts w:ascii="Times New Roman" w:hAnsi="Times New Roman"/>
                <w:sz w:val="28"/>
                <w:szCs w:val="28"/>
              </w:rPr>
            </w:pPr>
            <w:r>
              <w:rPr>
                <w:rFonts w:hint="eastAsia" w:ascii="Times New Roman" w:hAnsi="Times New Roman"/>
                <w:sz w:val="28"/>
                <w:szCs w:val="28"/>
              </w:rPr>
              <w:t>13</w:t>
            </w:r>
          </w:p>
        </w:tc>
        <w:tc>
          <w:tcPr>
            <w:tcW w:w="1700" w:type="dxa"/>
            <w:vAlign w:val="center"/>
          </w:tcPr>
          <w:p w14:paraId="0B10C9A3">
            <w:pPr>
              <w:jc w:val="center"/>
              <w:rPr>
                <w:rFonts w:hint="default" w:ascii="Times New Roman" w:hAnsi="Times New Roman"/>
                <w:sz w:val="28"/>
                <w:szCs w:val="28"/>
                <w:lang w:val="en-US"/>
              </w:rPr>
            </w:pPr>
            <w:r>
              <w:rPr>
                <w:rFonts w:hint="eastAsia" w:ascii="Times New Roman" w:hAnsi="Times New Roman"/>
                <w:sz w:val="28"/>
                <w:szCs w:val="28"/>
                <w:lang w:val="en-US" w:eastAsia="zh-CN"/>
              </w:rPr>
              <w:t>6.1-6.5</w:t>
            </w:r>
          </w:p>
        </w:tc>
        <w:tc>
          <w:tcPr>
            <w:tcW w:w="3671" w:type="dxa"/>
            <w:tcBorders>
              <w:top w:val="single" w:color="auto" w:sz="4" w:space="0"/>
              <w:left w:val="single" w:color="auto" w:sz="4" w:space="0"/>
              <w:bottom w:val="single" w:color="auto" w:sz="4" w:space="0"/>
              <w:right w:val="single" w:color="auto" w:sz="4" w:space="0"/>
            </w:tcBorders>
            <w:vAlign w:val="center"/>
          </w:tcPr>
          <w:p w14:paraId="75A4B6BC">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生态环境与国家安全</w:t>
            </w:r>
          </w:p>
        </w:tc>
        <w:tc>
          <w:tcPr>
            <w:tcW w:w="3558" w:type="dxa"/>
            <w:tcBorders>
              <w:top w:val="single" w:color="auto" w:sz="4" w:space="0"/>
              <w:left w:val="single" w:color="auto" w:sz="4" w:space="0"/>
              <w:bottom w:val="single" w:color="auto" w:sz="4" w:space="0"/>
              <w:right w:val="single" w:color="auto" w:sz="4" w:space="0"/>
            </w:tcBorders>
            <w:vAlign w:val="center"/>
          </w:tcPr>
          <w:p w14:paraId="4EAB865B">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碳排放与环境安全</w:t>
            </w:r>
          </w:p>
        </w:tc>
        <w:tc>
          <w:tcPr>
            <w:tcW w:w="498" w:type="dxa"/>
            <w:vAlign w:val="center"/>
          </w:tcPr>
          <w:p w14:paraId="26D39A08">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8D5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59E9DBD">
            <w:pPr>
              <w:jc w:val="center"/>
              <w:rPr>
                <w:rFonts w:ascii="Times New Roman" w:hAnsi="Times New Roman"/>
                <w:sz w:val="28"/>
                <w:szCs w:val="28"/>
              </w:rPr>
            </w:pPr>
            <w:r>
              <w:rPr>
                <w:rFonts w:hint="eastAsia" w:ascii="Times New Roman" w:hAnsi="Times New Roman"/>
                <w:sz w:val="28"/>
                <w:szCs w:val="28"/>
              </w:rPr>
              <w:t>14</w:t>
            </w:r>
          </w:p>
        </w:tc>
        <w:tc>
          <w:tcPr>
            <w:tcW w:w="1700" w:type="dxa"/>
            <w:vAlign w:val="center"/>
          </w:tcPr>
          <w:p w14:paraId="11164E87">
            <w:pPr>
              <w:jc w:val="center"/>
              <w:rPr>
                <w:rFonts w:hint="default" w:ascii="Times New Roman" w:hAnsi="Times New Roman"/>
                <w:sz w:val="28"/>
                <w:szCs w:val="28"/>
                <w:lang w:val="en-US"/>
              </w:rPr>
            </w:pPr>
            <w:r>
              <w:rPr>
                <w:rFonts w:hint="eastAsia" w:ascii="Times New Roman" w:hAnsi="Times New Roman"/>
                <w:sz w:val="28"/>
                <w:szCs w:val="28"/>
                <w:lang w:val="en-US" w:eastAsia="zh-CN"/>
              </w:rPr>
              <w:t>6.8-6.12</w:t>
            </w:r>
          </w:p>
        </w:tc>
        <w:tc>
          <w:tcPr>
            <w:tcW w:w="3671" w:type="dxa"/>
            <w:tcBorders>
              <w:top w:val="single" w:color="auto" w:sz="4" w:space="0"/>
              <w:left w:val="single" w:color="auto" w:sz="4" w:space="0"/>
              <w:bottom w:val="single" w:color="auto" w:sz="4" w:space="0"/>
              <w:right w:val="single" w:color="auto" w:sz="4" w:space="0"/>
            </w:tcBorders>
            <w:vAlign w:val="center"/>
          </w:tcPr>
          <w:p w14:paraId="074C9FF4">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生态环境与国家安全</w:t>
            </w:r>
          </w:p>
        </w:tc>
        <w:tc>
          <w:tcPr>
            <w:tcW w:w="3558" w:type="dxa"/>
            <w:tcBorders>
              <w:top w:val="single" w:color="auto" w:sz="4" w:space="0"/>
              <w:left w:val="single" w:color="auto" w:sz="4" w:space="0"/>
              <w:bottom w:val="single" w:color="auto" w:sz="4" w:space="0"/>
              <w:right w:val="single" w:color="auto" w:sz="4" w:space="0"/>
            </w:tcBorders>
            <w:vAlign w:val="center"/>
          </w:tcPr>
          <w:p w14:paraId="0CCF53FB">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自然保护区与生态安全</w:t>
            </w:r>
          </w:p>
        </w:tc>
        <w:tc>
          <w:tcPr>
            <w:tcW w:w="498" w:type="dxa"/>
            <w:vAlign w:val="center"/>
          </w:tcPr>
          <w:p w14:paraId="6B78EAD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7B5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B159F9B">
            <w:pPr>
              <w:jc w:val="center"/>
              <w:rPr>
                <w:rFonts w:ascii="Times New Roman" w:hAnsi="Times New Roman"/>
                <w:sz w:val="28"/>
                <w:szCs w:val="28"/>
              </w:rPr>
            </w:pPr>
            <w:r>
              <w:rPr>
                <w:rFonts w:hint="eastAsia" w:ascii="Times New Roman" w:hAnsi="Times New Roman"/>
                <w:sz w:val="28"/>
                <w:szCs w:val="28"/>
              </w:rPr>
              <w:t>15</w:t>
            </w:r>
          </w:p>
        </w:tc>
        <w:tc>
          <w:tcPr>
            <w:tcW w:w="1700" w:type="dxa"/>
            <w:vAlign w:val="center"/>
          </w:tcPr>
          <w:p w14:paraId="2798C0D3">
            <w:pPr>
              <w:jc w:val="center"/>
              <w:rPr>
                <w:rFonts w:hint="default" w:ascii="Times New Roman" w:hAnsi="Times New Roman"/>
                <w:sz w:val="28"/>
                <w:szCs w:val="28"/>
                <w:lang w:val="en-US"/>
              </w:rPr>
            </w:pPr>
            <w:r>
              <w:rPr>
                <w:rFonts w:hint="eastAsia" w:ascii="Times New Roman" w:hAnsi="Times New Roman"/>
                <w:sz w:val="28"/>
                <w:szCs w:val="28"/>
                <w:lang w:val="en-US" w:eastAsia="zh-CN"/>
              </w:rPr>
              <w:t>6.15-6.19</w:t>
            </w:r>
          </w:p>
        </w:tc>
        <w:tc>
          <w:tcPr>
            <w:tcW w:w="3671" w:type="dxa"/>
            <w:tcBorders>
              <w:top w:val="single" w:color="auto" w:sz="4" w:space="0"/>
              <w:left w:val="single" w:color="auto" w:sz="4" w:space="0"/>
              <w:bottom w:val="single" w:color="auto" w:sz="4" w:space="0"/>
              <w:right w:val="single" w:color="auto" w:sz="4" w:space="0"/>
            </w:tcBorders>
            <w:vAlign w:val="center"/>
          </w:tcPr>
          <w:p w14:paraId="746F1DE0">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生态环境与国家安全</w:t>
            </w:r>
          </w:p>
        </w:tc>
        <w:tc>
          <w:tcPr>
            <w:tcW w:w="3558" w:type="dxa"/>
            <w:tcBorders>
              <w:top w:val="single" w:color="auto" w:sz="4" w:space="0"/>
              <w:left w:val="single" w:color="auto" w:sz="4" w:space="0"/>
              <w:bottom w:val="single" w:color="auto" w:sz="4" w:space="0"/>
              <w:right w:val="single" w:color="auto" w:sz="4" w:space="0"/>
            </w:tcBorders>
            <w:vAlign w:val="center"/>
          </w:tcPr>
          <w:p w14:paraId="011F783A">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污染物跨境转移与环境安全</w:t>
            </w:r>
          </w:p>
        </w:tc>
        <w:tc>
          <w:tcPr>
            <w:tcW w:w="498" w:type="dxa"/>
            <w:vAlign w:val="center"/>
          </w:tcPr>
          <w:p w14:paraId="082CBF5B">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E6A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5ED358A">
            <w:pPr>
              <w:jc w:val="center"/>
              <w:rPr>
                <w:rFonts w:ascii="Times New Roman" w:hAnsi="Times New Roman"/>
                <w:sz w:val="28"/>
                <w:szCs w:val="28"/>
              </w:rPr>
            </w:pPr>
            <w:r>
              <w:rPr>
                <w:rFonts w:hint="eastAsia" w:ascii="Times New Roman" w:hAnsi="Times New Roman"/>
                <w:sz w:val="28"/>
                <w:szCs w:val="28"/>
              </w:rPr>
              <w:t>16</w:t>
            </w:r>
          </w:p>
        </w:tc>
        <w:tc>
          <w:tcPr>
            <w:tcW w:w="1700" w:type="dxa"/>
            <w:vAlign w:val="center"/>
          </w:tcPr>
          <w:p w14:paraId="282BF22F">
            <w:pPr>
              <w:jc w:val="center"/>
              <w:rPr>
                <w:rFonts w:hint="default" w:ascii="Times New Roman" w:hAnsi="Times New Roman"/>
                <w:sz w:val="28"/>
                <w:szCs w:val="28"/>
                <w:lang w:val="en-US"/>
              </w:rPr>
            </w:pPr>
            <w:r>
              <w:rPr>
                <w:rFonts w:hint="eastAsia" w:ascii="Times New Roman" w:hAnsi="Times New Roman"/>
                <w:sz w:val="28"/>
                <w:szCs w:val="28"/>
                <w:lang w:val="en-US" w:eastAsia="zh-CN"/>
              </w:rPr>
              <w:t>6.22-6.26</w:t>
            </w:r>
          </w:p>
        </w:tc>
        <w:tc>
          <w:tcPr>
            <w:tcW w:w="3671" w:type="dxa"/>
            <w:tcBorders>
              <w:top w:val="single" w:color="auto" w:sz="4" w:space="0"/>
              <w:left w:val="single" w:color="auto" w:sz="4" w:space="0"/>
              <w:bottom w:val="single" w:color="auto" w:sz="4" w:space="0"/>
              <w:right w:val="single" w:color="auto" w:sz="4" w:space="0"/>
            </w:tcBorders>
            <w:vAlign w:val="center"/>
          </w:tcPr>
          <w:p w14:paraId="774C22D1">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生态环境与国家安全</w:t>
            </w:r>
          </w:p>
        </w:tc>
        <w:tc>
          <w:tcPr>
            <w:tcW w:w="3558" w:type="dxa"/>
            <w:tcBorders>
              <w:top w:val="single" w:color="auto" w:sz="4" w:space="0"/>
              <w:left w:val="single" w:color="auto" w:sz="4" w:space="0"/>
              <w:bottom w:val="single" w:color="auto" w:sz="4" w:space="0"/>
              <w:right w:val="single" w:color="auto" w:sz="4" w:space="0"/>
            </w:tcBorders>
            <w:vAlign w:val="center"/>
          </w:tcPr>
          <w:p w14:paraId="719BA979">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环境保护与国家安全；单元活动：参与环境保护</w:t>
            </w:r>
          </w:p>
        </w:tc>
        <w:tc>
          <w:tcPr>
            <w:tcW w:w="498" w:type="dxa"/>
            <w:vAlign w:val="center"/>
          </w:tcPr>
          <w:p w14:paraId="298069E1">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0D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076D9FA">
            <w:pPr>
              <w:jc w:val="center"/>
              <w:rPr>
                <w:rFonts w:ascii="Times New Roman" w:hAnsi="Times New Roman"/>
                <w:sz w:val="28"/>
                <w:szCs w:val="28"/>
              </w:rPr>
            </w:pPr>
            <w:r>
              <w:rPr>
                <w:rFonts w:hint="eastAsia" w:ascii="Times New Roman" w:hAnsi="Times New Roman"/>
                <w:sz w:val="28"/>
                <w:szCs w:val="28"/>
              </w:rPr>
              <w:t>17</w:t>
            </w:r>
          </w:p>
        </w:tc>
        <w:tc>
          <w:tcPr>
            <w:tcW w:w="1700" w:type="dxa"/>
            <w:vAlign w:val="center"/>
          </w:tcPr>
          <w:p w14:paraId="3A9504C4">
            <w:pPr>
              <w:jc w:val="center"/>
              <w:rPr>
                <w:rFonts w:hint="default" w:ascii="Times New Roman" w:hAnsi="Times New Roman"/>
                <w:sz w:val="28"/>
                <w:szCs w:val="28"/>
                <w:lang w:val="en-US"/>
              </w:rPr>
            </w:pPr>
            <w:r>
              <w:rPr>
                <w:rFonts w:hint="eastAsia" w:ascii="Times New Roman" w:hAnsi="Times New Roman"/>
                <w:sz w:val="28"/>
                <w:szCs w:val="28"/>
                <w:lang w:val="en-US" w:eastAsia="zh-CN"/>
              </w:rPr>
              <w:t>6.29-7.3</w:t>
            </w:r>
          </w:p>
        </w:tc>
        <w:tc>
          <w:tcPr>
            <w:tcW w:w="3671" w:type="dxa"/>
            <w:tcBorders>
              <w:top w:val="single" w:color="auto" w:sz="4" w:space="0"/>
              <w:left w:val="single" w:color="auto" w:sz="4" w:space="0"/>
              <w:bottom w:val="single" w:color="auto" w:sz="4" w:space="0"/>
              <w:right w:val="single" w:color="auto" w:sz="4" w:space="0"/>
            </w:tcBorders>
            <w:vAlign w:val="center"/>
          </w:tcPr>
          <w:p w14:paraId="153B54FD">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期末复习</w:t>
            </w:r>
          </w:p>
        </w:tc>
        <w:tc>
          <w:tcPr>
            <w:tcW w:w="3558" w:type="dxa"/>
            <w:tcBorders>
              <w:top w:val="single" w:color="auto" w:sz="4" w:space="0"/>
              <w:left w:val="single" w:color="auto" w:sz="4" w:space="0"/>
              <w:bottom w:val="single" w:color="auto" w:sz="4" w:space="0"/>
              <w:right w:val="single" w:color="auto" w:sz="4" w:space="0"/>
            </w:tcBorders>
            <w:vAlign w:val="center"/>
          </w:tcPr>
          <w:p w14:paraId="08CC0C44">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选择性必修二与选择性必修三复习</w:t>
            </w:r>
          </w:p>
        </w:tc>
        <w:tc>
          <w:tcPr>
            <w:tcW w:w="498" w:type="dxa"/>
            <w:vAlign w:val="center"/>
          </w:tcPr>
          <w:p w14:paraId="4EF076E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4AD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535" w:type="dxa"/>
            <w:vAlign w:val="center"/>
          </w:tcPr>
          <w:p w14:paraId="01905EB6">
            <w:pPr>
              <w:jc w:val="center"/>
              <w:rPr>
                <w:rFonts w:ascii="Times New Roman" w:hAnsi="Times New Roman"/>
                <w:sz w:val="28"/>
                <w:szCs w:val="28"/>
              </w:rPr>
            </w:pPr>
            <w:r>
              <w:rPr>
                <w:rFonts w:hint="eastAsia" w:ascii="Times New Roman" w:hAnsi="Times New Roman"/>
                <w:sz w:val="28"/>
                <w:szCs w:val="28"/>
              </w:rPr>
              <w:t>18</w:t>
            </w:r>
          </w:p>
        </w:tc>
        <w:tc>
          <w:tcPr>
            <w:tcW w:w="1700" w:type="dxa"/>
            <w:vAlign w:val="center"/>
          </w:tcPr>
          <w:p w14:paraId="1A8E1A47">
            <w:pPr>
              <w:jc w:val="center"/>
              <w:rPr>
                <w:rFonts w:hint="default" w:ascii="Times New Roman" w:hAnsi="Times New Roman"/>
                <w:sz w:val="28"/>
                <w:szCs w:val="28"/>
                <w:lang w:val="en-US"/>
              </w:rPr>
            </w:pPr>
            <w:r>
              <w:rPr>
                <w:rFonts w:hint="eastAsia" w:ascii="Times New Roman" w:hAnsi="Times New Roman"/>
                <w:sz w:val="28"/>
                <w:szCs w:val="28"/>
                <w:lang w:val="en-US" w:eastAsia="zh-CN"/>
              </w:rPr>
              <w:t>7.6-7.10</w:t>
            </w:r>
          </w:p>
        </w:tc>
        <w:tc>
          <w:tcPr>
            <w:tcW w:w="3671" w:type="dxa"/>
            <w:tcBorders>
              <w:top w:val="single" w:color="auto" w:sz="4" w:space="0"/>
              <w:left w:val="single" w:color="auto" w:sz="4" w:space="0"/>
              <w:bottom w:val="single" w:color="auto" w:sz="4" w:space="0"/>
              <w:right w:val="single" w:color="auto" w:sz="4" w:space="0"/>
            </w:tcBorders>
            <w:vAlign w:val="center"/>
          </w:tcPr>
          <w:p w14:paraId="5BA5D236">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期末考试与讲评</w:t>
            </w:r>
          </w:p>
        </w:tc>
        <w:tc>
          <w:tcPr>
            <w:tcW w:w="3558" w:type="dxa"/>
            <w:tcBorders>
              <w:top w:val="single" w:color="auto" w:sz="4" w:space="0"/>
              <w:left w:val="single" w:color="auto" w:sz="4" w:space="0"/>
              <w:bottom w:val="single" w:color="auto" w:sz="4" w:space="0"/>
              <w:right w:val="single" w:color="auto" w:sz="4" w:space="0"/>
            </w:tcBorders>
            <w:vAlign w:val="center"/>
          </w:tcPr>
          <w:p w14:paraId="63CBA738">
            <w:p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期末考试与讲评</w:t>
            </w:r>
          </w:p>
        </w:tc>
        <w:tc>
          <w:tcPr>
            <w:tcW w:w="498" w:type="dxa"/>
            <w:vAlign w:val="center"/>
          </w:tcPr>
          <w:p w14:paraId="2579974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bl>
    <w:p w14:paraId="7E4BF5A0">
      <w:pPr>
        <w:rPr>
          <w:rFonts w:ascii="Times New Roman" w:hAnsi="Times New Roman"/>
          <w:sz w:val="32"/>
          <w:szCs w:val="32"/>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13E"/>
    <w:rsid w:val="0010401F"/>
    <w:rsid w:val="004F713E"/>
    <w:rsid w:val="005B1E69"/>
    <w:rsid w:val="006D40A1"/>
    <w:rsid w:val="00705E0A"/>
    <w:rsid w:val="009152AC"/>
    <w:rsid w:val="00B02BB7"/>
    <w:rsid w:val="00F5669D"/>
    <w:rsid w:val="086F0E20"/>
    <w:rsid w:val="0A335DC0"/>
    <w:rsid w:val="0C277EFD"/>
    <w:rsid w:val="12413D84"/>
    <w:rsid w:val="22A73C56"/>
    <w:rsid w:val="29136805"/>
    <w:rsid w:val="29F205DF"/>
    <w:rsid w:val="29F51284"/>
    <w:rsid w:val="2A6F2A5B"/>
    <w:rsid w:val="39995AAB"/>
    <w:rsid w:val="44050375"/>
    <w:rsid w:val="449325D5"/>
    <w:rsid w:val="4B0E25BF"/>
    <w:rsid w:val="565E1CB5"/>
    <w:rsid w:val="63901E5D"/>
    <w:rsid w:val="68991C3F"/>
    <w:rsid w:val="689C68F2"/>
    <w:rsid w:val="6FA51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2324</Words>
  <Characters>2501</Characters>
  <Lines>2</Lines>
  <Paragraphs>1</Paragraphs>
  <TotalTime>7</TotalTime>
  <ScaleCrop>false</ScaleCrop>
  <LinksUpToDate>false</LinksUpToDate>
  <CharactersWithSpaces>2515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2025-02-04T14:45:00Z</dcterms:created>
  <dc:creator>dell</dc:creator>
  <cp:lastModifiedBy>小吉</cp:lastModifiedBy>
  <dcterms:modified xsi:type="dcterms:W3CDTF">2026-03-19T01:47:03Z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eyJoZGlkIjoiNTdjNmUzOGE0ZDY0NmQzZDc3ODM0NTMzMTAwNWQ1MjciLCJ1c2VySWQiOiI1Nzc2NjEwNDcifQ==</vt:lpwstr>
  </property>
  <property fmtid="{D5CDD505-2E9C-101B-9397-08002B2CF9AE}" pid="4" name="ICV">
    <vt:lpwstr>4C3A23835540440D89E98E7C8043022C_13</vt:lpwstr>
  </property>
</Properties>
</file>