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9162D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5C0859B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2025-2026学年第二学期课程教学计划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5624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2B04A7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5D14E0F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地理</w:t>
            </w:r>
          </w:p>
        </w:tc>
        <w:tc>
          <w:tcPr>
            <w:tcW w:w="1506" w:type="dxa"/>
            <w:vAlign w:val="center"/>
          </w:tcPr>
          <w:p w14:paraId="28E46EB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5CD15B3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2304BE9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☑理论+实践</w:t>
            </w:r>
          </w:p>
        </w:tc>
      </w:tr>
      <w:tr w14:paraId="1E443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0064C0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2B16E143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付绍玲</w:t>
            </w:r>
          </w:p>
        </w:tc>
        <w:tc>
          <w:tcPr>
            <w:tcW w:w="1506" w:type="dxa"/>
            <w:vAlign w:val="center"/>
          </w:tcPr>
          <w:p w14:paraId="6ABCFE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124B4F96">
            <w:pPr>
              <w:spacing w:line="360" w:lineRule="exact"/>
              <w:ind w:firstLine="560" w:firstLineChars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高三学生</w:t>
            </w:r>
          </w:p>
        </w:tc>
      </w:tr>
      <w:tr w14:paraId="79625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0B3E738C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13942D0B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14:paraId="59D4AA6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2E3706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6" w:type="dxa"/>
            <w:vAlign w:val="center"/>
          </w:tcPr>
          <w:p w14:paraId="6E37193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0C694EC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55783D4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567" w:type="dxa"/>
            <w:gridSpan w:val="2"/>
            <w:vAlign w:val="center"/>
          </w:tcPr>
          <w:p w14:paraId="35E733B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0DB996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3C0604F3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36</w:t>
            </w:r>
          </w:p>
        </w:tc>
      </w:tr>
      <w:tr w14:paraId="089F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7D10C39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4C4D2FD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08FA261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53AF255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58FF49C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2D3BC5A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2BB680F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448D9E3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67A11A5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F820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525" w:type="dxa"/>
            <w:vAlign w:val="center"/>
          </w:tcPr>
          <w:p w14:paraId="6B5A5D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2D29317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11CFFDB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2E90E1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171136C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  <w:lang w:val="en-US" w:eastAsia="zh-CN"/>
              </w:rPr>
              <w:t>一、</w:t>
            </w:r>
            <w:r>
              <w:rPr>
                <w:rFonts w:hint="eastAsia" w:ascii="Segoe UI" w:hAnsi="Segoe UI" w:cs="Segoe UI"/>
                <w:sz w:val="22"/>
                <w:szCs w:val="22"/>
              </w:rPr>
              <w:t>人口与地理环境</w:t>
            </w:r>
          </w:p>
          <w:p w14:paraId="17A7EF16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 w:ascii="Segoe UI" w:hAnsi="Segoe UI" w:cs="Segoe UI"/>
                <w:sz w:val="22"/>
                <w:szCs w:val="22"/>
              </w:rPr>
              <w:t>人口分布</w:t>
            </w:r>
          </w:p>
          <w:p w14:paraId="00634AF8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eastAsia" w:ascii="Segoe UI" w:hAnsi="Segoe UI" w:cs="Segoe UI"/>
                <w:sz w:val="22"/>
                <w:szCs w:val="22"/>
              </w:rPr>
              <w:t>人口增长</w:t>
            </w:r>
          </w:p>
          <w:p w14:paraId="3AD60CF2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Segoe UI" w:hAnsi="Segoe UI" w:cs="Segoe UI"/>
                <w:sz w:val="22"/>
                <w:szCs w:val="22"/>
              </w:rPr>
              <w:t>人口迁移</w:t>
            </w:r>
          </w:p>
          <w:p w14:paraId="56026EFB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  <w:lang w:val="en-US" w:eastAsia="zh-CN"/>
              </w:rPr>
              <w:t>4、</w:t>
            </w:r>
            <w:r>
              <w:rPr>
                <w:rFonts w:hint="eastAsia" w:ascii="Segoe UI" w:hAnsi="Segoe UI" w:cs="Segoe UI"/>
                <w:sz w:val="22"/>
                <w:szCs w:val="22"/>
              </w:rPr>
              <w:t>人口合理容量</w:t>
            </w:r>
          </w:p>
          <w:p w14:paraId="6F5F2F7E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  <w:lang w:val="en-US" w:eastAsia="zh-CN"/>
              </w:rPr>
              <w:t>二、</w:t>
            </w:r>
            <w:r>
              <w:rPr>
                <w:rFonts w:hint="eastAsia" w:ascii="Segoe UI" w:hAnsi="Segoe UI" w:cs="Segoe UI"/>
                <w:sz w:val="22"/>
                <w:szCs w:val="22"/>
              </w:rPr>
              <w:t>乡村和城镇</w:t>
            </w:r>
          </w:p>
          <w:p w14:paraId="7EFC6F90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1、城乡空间结构</w:t>
            </w:r>
          </w:p>
          <w:p w14:paraId="508043E4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2、城镇化</w:t>
            </w:r>
          </w:p>
          <w:p w14:paraId="7752B15D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3、地域文化与城乡景观</w:t>
            </w:r>
          </w:p>
          <w:p w14:paraId="6530C7F3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三、产业区位因素</w:t>
            </w:r>
          </w:p>
          <w:p w14:paraId="65CEE9D7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1、农业区位因素及其变化</w:t>
            </w:r>
          </w:p>
          <w:p w14:paraId="293E2DD3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2、工业区位因素及其变化</w:t>
            </w:r>
          </w:p>
          <w:p w14:paraId="355C9B13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3、服务业区位因素及其变化</w:t>
            </w:r>
          </w:p>
          <w:p w14:paraId="3FFACABD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四、交通运输布局与区域发展</w:t>
            </w:r>
          </w:p>
          <w:p w14:paraId="604A32FE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1、区域发展对交通运输布局的影响</w:t>
            </w:r>
          </w:p>
          <w:p w14:paraId="22CAE6DF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2、交通布局对区域发展的影响</w:t>
            </w:r>
          </w:p>
          <w:p w14:paraId="7868575D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五、环境与发展</w:t>
            </w:r>
          </w:p>
          <w:p w14:paraId="15B930E0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1、环境问题与可持续发展</w:t>
            </w:r>
          </w:p>
          <w:p w14:paraId="44B22777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2、中国国家发展战略举例</w:t>
            </w:r>
          </w:p>
          <w:p w14:paraId="3AA6F2E2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六、区域发展</w:t>
            </w:r>
          </w:p>
          <w:p w14:paraId="177BA7C6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1、区域与区域发展</w:t>
            </w:r>
          </w:p>
          <w:p w14:paraId="712F12C4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2、资源、环境与区域发展</w:t>
            </w:r>
          </w:p>
          <w:p w14:paraId="35468580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3、城市、产业与区域发展</w:t>
            </w:r>
          </w:p>
          <w:p w14:paraId="5BE330A0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4、区域联系与区域协调发展</w:t>
            </w:r>
          </w:p>
          <w:p w14:paraId="5C28A91B">
            <w:pPr>
              <w:widowControl/>
              <w:shd w:val="clear" w:color="auto" w:fill="FFFFFF"/>
              <w:wordWrap w:val="0"/>
              <w:jc w:val="left"/>
              <w:rPr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七、资源环境与国家安全</w:t>
            </w:r>
          </w:p>
          <w:p w14:paraId="68F5F42F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1、资源安全与国家安全</w:t>
            </w:r>
          </w:p>
          <w:p w14:paraId="1F34D812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Segoe UI" w:hAnsi="Segoe UI" w:cs="Segoe UI"/>
                <w:sz w:val="22"/>
                <w:szCs w:val="22"/>
              </w:rPr>
              <w:t>2、环境安全与国家安全</w:t>
            </w:r>
          </w:p>
        </w:tc>
      </w:tr>
      <w:tr w14:paraId="32E4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37DC5DE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9BA4D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42E8CDB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7B67A0B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149D528">
            <w:pPr>
              <w:widowControl/>
              <w:shd w:val="clear" w:color="auto" w:fill="FFFFFF"/>
              <w:wordWrap w:val="0"/>
              <w:jc w:val="left"/>
              <w:rPr>
                <w:rStyle w:val="10"/>
                <w:rFonts w:hint="eastAsia"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高三下学期的学生具备以下特点</w:t>
            </w:r>
          </w:p>
          <w:p w14:paraId="42EC0C7C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知识层面</w:t>
            </w:r>
            <w:r>
              <w:rPr>
                <w:rFonts w:ascii="Segoe UI" w:hAnsi="Segoe UI" w:cs="Segoe UI"/>
                <w:sz w:val="22"/>
                <w:szCs w:val="22"/>
              </w:rPr>
              <w:t>：对高中地理的自然地理、人文地理、区域地理等主干知识有基本掌握，但存在知识碎片化、易混淆的问题，比如容易混淆天气系统和气候类型的判断逻辑。</w:t>
            </w:r>
          </w:p>
          <w:p w14:paraId="52B08B09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能力层面</w:t>
            </w:r>
            <w:r>
              <w:rPr>
                <w:rFonts w:ascii="Segoe UI" w:hAnsi="Segoe UI" w:cs="Segoe UI"/>
                <w:sz w:val="22"/>
                <w:szCs w:val="22"/>
              </w:rPr>
              <w:t>：已经能完成基础的读图、析图和简单的综合题作答，但在复杂图表解读、跨模块知识整合、结合材料分析实际地理问题的能力上还有欠缺，面对高考开放性试题时常无从下手。</w:t>
            </w:r>
          </w:p>
          <w:p w14:paraId="17BA7466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备考状态</w:t>
            </w:r>
            <w:r>
              <w:rPr>
                <w:rFonts w:ascii="Segoe UI" w:hAnsi="Segoe UI" w:cs="Segoe UI"/>
                <w:sz w:val="22"/>
                <w:szCs w:val="22"/>
              </w:rPr>
              <w:t>：经过长时间复习，部分学生进入疲劳期，出现“高原反应”，对重复的基础练习产生倦怠；同时，临近高考，学生普遍存在焦虑情绪，对分数波动的耐受度降低。</w:t>
            </w:r>
          </w:p>
          <w:p w14:paraId="22C72932">
            <w:pPr>
              <w:spacing w:line="400" w:lineRule="exact"/>
              <w:ind w:firstLine="480" w:firstLineChars="200"/>
              <w:jc w:val="left"/>
              <w:rPr>
                <w:rFonts w:ascii="Segoe UI" w:hAnsi="Segoe UI" w:eastAsia="宋体" w:cs="Segoe UI"/>
                <w:sz w:val="24"/>
                <w:shd w:val="clear" w:color="auto" w:fill="FFFFFF"/>
              </w:rPr>
            </w:pPr>
            <w:r>
              <w:rPr>
                <w:rFonts w:ascii="Segoe UI" w:hAnsi="Segoe UI" w:eastAsia="宋体" w:cs="Segoe UI"/>
                <w:sz w:val="24"/>
                <w:shd w:val="clear" w:color="auto" w:fill="FFFFFF"/>
              </w:rPr>
              <w:t xml:space="preserve"> </w:t>
            </w:r>
          </w:p>
        </w:tc>
      </w:tr>
      <w:tr w14:paraId="50EA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1D86B3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1A64A7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67146EA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0FE2345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09E2AC8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7D27174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6EBE11C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深化主干知识</w:t>
            </w:r>
          </w:p>
          <w:p w14:paraId="4356A4B9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自然地理：精准掌握地球运动、大气环流、地质作用、水循环等核心原理，能独立推导地理现象的形成过程，比如结合热力环流原理分析山谷风、海陆风的昼夜变化。</w:t>
            </w:r>
          </w:p>
          <w:p w14:paraId="0DEAA771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人文地理：梳理人口、城市、农业、工业、交通等模块的区位分析框架，明确不同区位因素在不同区域、不同时期的权重变化。</w:t>
            </w:r>
          </w:p>
          <w:p w14:paraId="4527E347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区域地理：熟悉世界主要国家和中国四大地区的地理特征，能快速定位区域并调用对应的自然、人文地理知识。</w:t>
            </w:r>
          </w:p>
          <w:p w14:paraId="05D4E740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构建知识体系</w:t>
            </w:r>
          </w:p>
          <w:p w14:paraId="7132EFA7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打破模块壁垒，建立“自然地理为基础、人文地理为应用、区域地理为载体”的综合知识网络，比如分析某区域农业发展时，能联动地形、气候等自然条件和市场、政策等人文条件。</w:t>
            </w:r>
          </w:p>
          <w:p w14:paraId="1D352D84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聚焦高频考点</w:t>
            </w:r>
          </w:p>
          <w:p w14:paraId="4E97DF9C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针对高考高频考点，如气候类型判读、产业转移、生态环境治理等进行专项突破，熟悉考点的命题形式和设问角度。</w:t>
            </w:r>
          </w:p>
          <w:p w14:paraId="666B7D95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14:paraId="6AFCF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525" w:type="dxa"/>
            <w:vMerge w:val="continue"/>
            <w:vAlign w:val="center"/>
          </w:tcPr>
          <w:p w14:paraId="2E25585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6062F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1292980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3F8A3B5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信息提取与解读能力</w:t>
            </w:r>
          </w:p>
          <w:p w14:paraId="6551395A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能快速、准确地从文字材料、各类地图（等值线图、统计图、示意图等）中提取有效地理信息，比如从等高线图中判断地形类型、坡度陡缓，从人口金字塔图中分析人口增长模式。</w:t>
            </w:r>
          </w:p>
          <w:p w14:paraId="4CA3A359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知识迁移与应用能力</w:t>
            </w:r>
          </w:p>
          <w:p w14:paraId="1166E558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能将所学地理原理和规律迁移到新情境中，解决实际问题，比如运用工业区位原理分析某新兴产业园区的布局合理性。</w:t>
            </w:r>
          </w:p>
          <w:p w14:paraId="54B55337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逻辑推理与表达能力</w:t>
            </w:r>
          </w:p>
          <w:p w14:paraId="2BA3FB2A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建立地理问题的分析逻辑，形成“原因-过程-结果-影响”的思考链条；能用规范、简洁的地理术语作答综合题，避免口语化表达，确保答案逻辑清晰、层次分明。</w:t>
            </w:r>
          </w:p>
          <w:p w14:paraId="0A94A701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Style w:val="10"/>
                <w:rFonts w:ascii="Segoe UI" w:hAnsi="Segoe UI" w:cs="Segoe UI"/>
                <w:sz w:val="22"/>
                <w:szCs w:val="22"/>
              </w:rPr>
              <w:t>创新思维与开放答题能力</w:t>
            </w:r>
          </w:p>
          <w:p w14:paraId="75023CD8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面对高考开放性试题，能从多角度思考问题，提出合理且有依据的观点，比如针对某区域的生态问题，提出不同维度的治理措施并说明理由。</w:t>
            </w:r>
          </w:p>
          <w:p w14:paraId="34BBCE2D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14:paraId="68D2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525" w:type="dxa"/>
            <w:vMerge w:val="continue"/>
            <w:vAlign w:val="center"/>
          </w:tcPr>
          <w:p w14:paraId="35458C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D53D5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5FD047B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B430B02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地理核心素养培育</w:t>
            </w:r>
          </w:p>
          <w:p w14:paraId="14D66275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区域认知：增强对不同区域地理环境的认知，理解区域差异和区域联系，树立因地制宜的发展观念。</w:t>
            </w:r>
          </w:p>
          <w:p w14:paraId="6B087AD4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综合思维：学会从自然与人文、局部与整体等多角度综合分析地理问题，形成全面、系统的思维方式。</w:t>
            </w:r>
          </w:p>
          <w:p w14:paraId="3FB855A6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地理实践力：能运用地理知识和方法解决生活中的地理问题，比如分析城市内涝的成因和防治措施，提升对地理知识的实践应用意识。</w:t>
            </w:r>
          </w:p>
          <w:p w14:paraId="681A2AC1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人地协调观：理解人类活动与地理环境的相互关系，树立可持续发展观念，关注生态环境保护、资源合理利用等现实议题。</w:t>
            </w:r>
          </w:p>
          <w:p w14:paraId="7A836996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备考心理素质提升</w:t>
            </w:r>
          </w:p>
          <w:p w14:paraId="2371741D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通过模拟训练和针对性辅导，帮助学生调整备考心态，增强抗压能力，能以平稳的心态应对高考前的各种测试和最终的高考。</w:t>
            </w:r>
          </w:p>
          <w:p w14:paraId="43C2ED41">
            <w:pPr>
              <w:widowControl/>
              <w:shd w:val="clear" w:color="auto" w:fill="FFFFFF"/>
              <w:wordWrap w:val="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科学思维习惯养成</w:t>
            </w:r>
          </w:p>
          <w:p w14:paraId="31682DE0">
            <w:pPr>
              <w:widowControl/>
              <w:shd w:val="clear" w:color="auto" w:fill="FFFFFF"/>
              <w:wordWrap w:val="0"/>
              <w:ind w:firstLine="440" w:firstLineChars="200"/>
              <w:jc w:val="left"/>
              <w:rPr>
                <w:rFonts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培养学生严谨、求实的科学态度，在分析地理问题时注重证据支撑，不主观臆断，逐步形成科学的思维习惯和研究方法。</w:t>
            </w:r>
          </w:p>
        </w:tc>
      </w:tr>
      <w:tr w14:paraId="7CBDC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52AF79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29E4ADC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20C847B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1050C14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7FFED4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566E5CF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42AE2D8F">
            <w:pPr>
              <w:widowControl/>
              <w:shd w:val="clear" w:color="auto" w:fill="FFFFFF"/>
              <w:wordWrap w:val="0"/>
              <w:ind w:firstLine="1100" w:firstLineChars="500"/>
              <w:jc w:val="left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学生课堂表现、作业完成情况</w:t>
            </w:r>
          </w:p>
        </w:tc>
      </w:tr>
      <w:tr w14:paraId="1D39A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6DD744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B6DB0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6E0D6109">
            <w:pPr>
              <w:widowControl/>
              <w:shd w:val="clear" w:color="auto" w:fill="FFFFFF"/>
              <w:wordWrap w:val="0"/>
              <w:ind w:firstLine="2200" w:firstLineChars="1000"/>
              <w:jc w:val="left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期中纸质试卷</w:t>
            </w:r>
          </w:p>
        </w:tc>
      </w:tr>
      <w:tr w14:paraId="79E7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03286C1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3E978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1799E80A">
            <w:pPr>
              <w:widowControl/>
              <w:shd w:val="clear" w:color="auto" w:fill="FFFFFF"/>
              <w:wordWrap w:val="0"/>
              <w:ind w:firstLine="2200" w:firstLineChars="1000"/>
              <w:jc w:val="left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期末纸质试卷</w:t>
            </w:r>
          </w:p>
        </w:tc>
      </w:tr>
    </w:tbl>
    <w:p w14:paraId="38A66D52">
      <w:pPr>
        <w:rPr>
          <w:rFonts w:ascii="Times New Roman" w:hAnsi="Times New Roman"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625E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3C8145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053E1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4059CC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4408463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439B7EB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169D725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76381AB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322E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5C442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47768CF0">
            <w:pPr>
              <w:ind w:firstLine="220" w:firstLineChars="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3.9-3.15</w:t>
            </w:r>
          </w:p>
        </w:tc>
        <w:tc>
          <w:tcPr>
            <w:tcW w:w="3671" w:type="dxa"/>
            <w:vAlign w:val="center"/>
          </w:tcPr>
          <w:p w14:paraId="2C22391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 xml:space="preserve"> 人口与地理环境</w:t>
            </w:r>
          </w:p>
        </w:tc>
        <w:tc>
          <w:tcPr>
            <w:tcW w:w="3558" w:type="dxa"/>
            <w:vAlign w:val="center"/>
          </w:tcPr>
          <w:p w14:paraId="3C540E79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人口分布</w:t>
            </w:r>
          </w:p>
          <w:p w14:paraId="4AD01BDA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人口增长</w:t>
            </w:r>
          </w:p>
          <w:p w14:paraId="01F687CA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人口迁移</w:t>
            </w:r>
          </w:p>
          <w:p w14:paraId="2750856A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4、</w:t>
            </w: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人口合理容量</w:t>
            </w:r>
          </w:p>
          <w:p w14:paraId="0C724A7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5、</w:t>
            </w: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288460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2075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</w:trPr>
        <w:tc>
          <w:tcPr>
            <w:tcW w:w="535" w:type="dxa"/>
            <w:vAlign w:val="center"/>
          </w:tcPr>
          <w:p w14:paraId="3C1B1B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751BFF35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3.16-3.22</w:t>
            </w:r>
          </w:p>
        </w:tc>
        <w:tc>
          <w:tcPr>
            <w:tcW w:w="3671" w:type="dxa"/>
            <w:vAlign w:val="center"/>
          </w:tcPr>
          <w:p w14:paraId="2800DEC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乡村和城镇</w:t>
            </w:r>
          </w:p>
        </w:tc>
        <w:tc>
          <w:tcPr>
            <w:tcW w:w="3558" w:type="dxa"/>
            <w:vAlign w:val="center"/>
          </w:tcPr>
          <w:p w14:paraId="77BB0E45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1、城乡空间结构</w:t>
            </w:r>
          </w:p>
          <w:p w14:paraId="3752D629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2、城镇化</w:t>
            </w:r>
          </w:p>
          <w:p w14:paraId="57CA7725">
            <w:pPr>
              <w:spacing w:line="400" w:lineRule="exact"/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3、地域文化与城乡景观</w:t>
            </w:r>
          </w:p>
          <w:p w14:paraId="6AB3CE4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4、相关习题讲解</w:t>
            </w:r>
          </w:p>
        </w:tc>
        <w:tc>
          <w:tcPr>
            <w:tcW w:w="498" w:type="dxa"/>
            <w:vAlign w:val="center"/>
          </w:tcPr>
          <w:p w14:paraId="2AD872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54620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1D34C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9577FD9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3.23-3.29</w:t>
            </w:r>
          </w:p>
        </w:tc>
        <w:tc>
          <w:tcPr>
            <w:tcW w:w="3671" w:type="dxa"/>
            <w:vAlign w:val="center"/>
          </w:tcPr>
          <w:p w14:paraId="6668A0B3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产业区位因素</w:t>
            </w:r>
          </w:p>
          <w:p w14:paraId="0E5AF26C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</w:p>
        </w:tc>
        <w:tc>
          <w:tcPr>
            <w:tcW w:w="3558" w:type="dxa"/>
            <w:vAlign w:val="center"/>
          </w:tcPr>
          <w:p w14:paraId="1E4F5A00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1、农业区位因素及其变化</w:t>
            </w:r>
          </w:p>
          <w:p w14:paraId="4B547674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2、工业区位因素及其变化</w:t>
            </w:r>
          </w:p>
          <w:p w14:paraId="11DB5343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3、服务业区位因素及其变化</w:t>
            </w:r>
          </w:p>
          <w:p w14:paraId="2854256E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4、相关习题讲解</w:t>
            </w:r>
          </w:p>
        </w:tc>
        <w:tc>
          <w:tcPr>
            <w:tcW w:w="498" w:type="dxa"/>
            <w:vAlign w:val="center"/>
          </w:tcPr>
          <w:p w14:paraId="5499AD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4CCD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C95A0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D409B91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3.30-4.5</w:t>
            </w:r>
          </w:p>
        </w:tc>
        <w:tc>
          <w:tcPr>
            <w:tcW w:w="3671" w:type="dxa"/>
            <w:vAlign w:val="center"/>
          </w:tcPr>
          <w:p w14:paraId="73A2FAD4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交通运输布局与区域发展</w:t>
            </w:r>
          </w:p>
        </w:tc>
        <w:tc>
          <w:tcPr>
            <w:tcW w:w="3558" w:type="dxa"/>
            <w:vAlign w:val="center"/>
          </w:tcPr>
          <w:p w14:paraId="0F80896B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1、区域发展对交通运输布局的影响</w:t>
            </w:r>
          </w:p>
          <w:p w14:paraId="55827DF2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2、交通布局对区域发展的影响</w:t>
            </w:r>
          </w:p>
          <w:p w14:paraId="6DD24A6A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3、相关习题讲解</w:t>
            </w:r>
          </w:p>
        </w:tc>
        <w:tc>
          <w:tcPr>
            <w:tcW w:w="498" w:type="dxa"/>
            <w:vAlign w:val="center"/>
          </w:tcPr>
          <w:p w14:paraId="21346A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5883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66C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71DFA93D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4.6-4.12</w:t>
            </w:r>
          </w:p>
        </w:tc>
        <w:tc>
          <w:tcPr>
            <w:tcW w:w="3671" w:type="dxa"/>
            <w:vAlign w:val="center"/>
          </w:tcPr>
          <w:p w14:paraId="4258F232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环境与发展</w:t>
            </w:r>
          </w:p>
        </w:tc>
        <w:tc>
          <w:tcPr>
            <w:tcW w:w="3558" w:type="dxa"/>
            <w:vAlign w:val="center"/>
          </w:tcPr>
          <w:p w14:paraId="7D10CD21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1、环境问题与可持续发展</w:t>
            </w:r>
          </w:p>
          <w:p w14:paraId="1CC7678B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2、中国国家发展战略举例</w:t>
            </w:r>
          </w:p>
          <w:p w14:paraId="16C5DDC0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3、相关习题讲解</w:t>
            </w:r>
          </w:p>
        </w:tc>
        <w:tc>
          <w:tcPr>
            <w:tcW w:w="498" w:type="dxa"/>
            <w:vAlign w:val="center"/>
          </w:tcPr>
          <w:p w14:paraId="13F4A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667A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7964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2F723EAF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4.13-4.19</w:t>
            </w:r>
          </w:p>
        </w:tc>
        <w:tc>
          <w:tcPr>
            <w:tcW w:w="3671" w:type="dxa"/>
            <w:vAlign w:val="center"/>
          </w:tcPr>
          <w:p w14:paraId="386292DB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区域发展</w:t>
            </w:r>
          </w:p>
        </w:tc>
        <w:tc>
          <w:tcPr>
            <w:tcW w:w="3558" w:type="dxa"/>
            <w:vAlign w:val="center"/>
          </w:tcPr>
          <w:p w14:paraId="13B86940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1、区域与区域发展</w:t>
            </w:r>
          </w:p>
          <w:p w14:paraId="2FE7B8AA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2、资源、环境与区域发展</w:t>
            </w:r>
          </w:p>
          <w:p w14:paraId="128C76E9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3、城市、产业与区域发展</w:t>
            </w:r>
          </w:p>
          <w:p w14:paraId="1D0AB4C0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4、区域联系与区域协调发展</w:t>
            </w:r>
          </w:p>
          <w:p w14:paraId="48FEF729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5、相关习题讲解</w:t>
            </w:r>
          </w:p>
        </w:tc>
        <w:tc>
          <w:tcPr>
            <w:tcW w:w="498" w:type="dxa"/>
            <w:vAlign w:val="center"/>
          </w:tcPr>
          <w:p w14:paraId="761A03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4120F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94B79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67BD63A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4.20-4.26</w:t>
            </w:r>
          </w:p>
        </w:tc>
        <w:tc>
          <w:tcPr>
            <w:tcW w:w="3671" w:type="dxa"/>
            <w:vAlign w:val="center"/>
          </w:tcPr>
          <w:p w14:paraId="482790B7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资源环境与国家安全</w:t>
            </w:r>
          </w:p>
        </w:tc>
        <w:tc>
          <w:tcPr>
            <w:tcW w:w="3558" w:type="dxa"/>
            <w:vAlign w:val="center"/>
          </w:tcPr>
          <w:p w14:paraId="2587FC44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1、资源安全与国家安全</w:t>
            </w:r>
          </w:p>
          <w:p w14:paraId="5ACC1ADA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2、环境安全与国家安全</w:t>
            </w:r>
          </w:p>
          <w:p w14:paraId="44758295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3、相关习题讲解</w:t>
            </w:r>
          </w:p>
        </w:tc>
        <w:tc>
          <w:tcPr>
            <w:tcW w:w="498" w:type="dxa"/>
            <w:vAlign w:val="center"/>
          </w:tcPr>
          <w:p w14:paraId="24FCB2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0A6C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569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6A7D33C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4.27-5.3</w:t>
            </w:r>
          </w:p>
        </w:tc>
        <w:tc>
          <w:tcPr>
            <w:tcW w:w="3671" w:type="dxa"/>
            <w:vAlign w:val="center"/>
          </w:tcPr>
          <w:p w14:paraId="068A4E16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五一</w:t>
            </w:r>
          </w:p>
        </w:tc>
        <w:tc>
          <w:tcPr>
            <w:tcW w:w="3558" w:type="dxa"/>
            <w:vAlign w:val="center"/>
          </w:tcPr>
          <w:p w14:paraId="16B1998A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8B015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AB0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3DA5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5F2D999B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9AA9FCD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高考真题练习</w:t>
            </w:r>
          </w:p>
        </w:tc>
        <w:tc>
          <w:tcPr>
            <w:tcW w:w="3558" w:type="dxa"/>
            <w:vAlign w:val="center"/>
          </w:tcPr>
          <w:p w14:paraId="1D05B9BF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讲题</w:t>
            </w:r>
          </w:p>
        </w:tc>
        <w:tc>
          <w:tcPr>
            <w:tcW w:w="498" w:type="dxa"/>
            <w:vAlign w:val="center"/>
          </w:tcPr>
          <w:p w14:paraId="6E4CAC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2FF30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3DAE0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6EECA7B9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5.11-5.17</w:t>
            </w:r>
          </w:p>
        </w:tc>
        <w:tc>
          <w:tcPr>
            <w:tcW w:w="3671" w:type="dxa"/>
            <w:vAlign w:val="center"/>
          </w:tcPr>
          <w:p w14:paraId="61BB53AD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高考真题练习</w:t>
            </w:r>
          </w:p>
        </w:tc>
        <w:tc>
          <w:tcPr>
            <w:tcW w:w="3558" w:type="dxa"/>
            <w:vAlign w:val="center"/>
          </w:tcPr>
          <w:p w14:paraId="26B79DEC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讲题</w:t>
            </w:r>
          </w:p>
        </w:tc>
        <w:tc>
          <w:tcPr>
            <w:tcW w:w="498" w:type="dxa"/>
            <w:vAlign w:val="center"/>
          </w:tcPr>
          <w:p w14:paraId="6CF5A5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8141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4D081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636BDA79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5.18-5.24</w:t>
            </w:r>
          </w:p>
        </w:tc>
        <w:tc>
          <w:tcPr>
            <w:tcW w:w="3671" w:type="dxa"/>
            <w:vAlign w:val="center"/>
          </w:tcPr>
          <w:p w14:paraId="47B42BB3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高考模拟题练习</w:t>
            </w:r>
          </w:p>
        </w:tc>
        <w:tc>
          <w:tcPr>
            <w:tcW w:w="3558" w:type="dxa"/>
            <w:vAlign w:val="center"/>
          </w:tcPr>
          <w:p w14:paraId="32674518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讲题</w:t>
            </w:r>
          </w:p>
        </w:tc>
        <w:tc>
          <w:tcPr>
            <w:tcW w:w="498" w:type="dxa"/>
            <w:vAlign w:val="center"/>
          </w:tcPr>
          <w:p w14:paraId="12DA71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5F2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94EC3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78359CA5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5.25-5.31</w:t>
            </w:r>
          </w:p>
        </w:tc>
        <w:tc>
          <w:tcPr>
            <w:tcW w:w="3671" w:type="dxa"/>
            <w:vAlign w:val="center"/>
          </w:tcPr>
          <w:p w14:paraId="6BA00543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高考模拟题练习</w:t>
            </w:r>
          </w:p>
        </w:tc>
        <w:tc>
          <w:tcPr>
            <w:tcW w:w="3558" w:type="dxa"/>
            <w:vAlign w:val="center"/>
          </w:tcPr>
          <w:p w14:paraId="20AFB9F4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讲题</w:t>
            </w:r>
          </w:p>
        </w:tc>
        <w:tc>
          <w:tcPr>
            <w:tcW w:w="498" w:type="dxa"/>
            <w:vAlign w:val="center"/>
          </w:tcPr>
          <w:p w14:paraId="2C30E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5595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435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39ECC1B1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6.1-6.7</w:t>
            </w:r>
          </w:p>
        </w:tc>
        <w:tc>
          <w:tcPr>
            <w:tcW w:w="3671" w:type="dxa"/>
          </w:tcPr>
          <w:p w14:paraId="19943EBC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  <w:t>高考模拟题练习</w:t>
            </w:r>
          </w:p>
        </w:tc>
        <w:tc>
          <w:tcPr>
            <w:tcW w:w="3558" w:type="dxa"/>
            <w:vAlign w:val="center"/>
          </w:tcPr>
          <w:p w14:paraId="196A4987">
            <w:pPr>
              <w:jc w:val="center"/>
              <w:rPr>
                <w:rFonts w:hint="eastAsia" w:ascii="Segoe UI" w:hAnsi="Segoe UI" w:eastAsia="宋体" w:cs="Segoe UI"/>
                <w:kern w:val="0"/>
                <w:sz w:val="22"/>
                <w:szCs w:val="22"/>
              </w:rPr>
            </w:pPr>
            <w:r>
              <w:rPr>
                <w:rFonts w:hint="eastAsia" w:ascii="Segoe UI" w:hAnsi="Segoe UI" w:eastAsia="宋体" w:cs="Segoe UI"/>
                <w:kern w:val="0"/>
                <w:sz w:val="22"/>
                <w:szCs w:val="22"/>
                <w:lang w:val="en-US" w:eastAsia="zh-CN"/>
              </w:rPr>
              <w:t>讲题</w:t>
            </w:r>
          </w:p>
        </w:tc>
        <w:tc>
          <w:tcPr>
            <w:tcW w:w="498" w:type="dxa"/>
            <w:vAlign w:val="center"/>
          </w:tcPr>
          <w:p w14:paraId="53F240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</w:tbl>
    <w:p w14:paraId="0F988909"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YTNkNzU4NmFhNWVhZmQ5NjVlNjdiYTI4YjI5OWUifQ=="/>
  </w:docVars>
  <w:rsids>
    <w:rsidRoot w:val="004F713E"/>
    <w:rsid w:val="0010401F"/>
    <w:rsid w:val="001053E5"/>
    <w:rsid w:val="001627F0"/>
    <w:rsid w:val="001A5F50"/>
    <w:rsid w:val="002C237C"/>
    <w:rsid w:val="00371FEF"/>
    <w:rsid w:val="003833A1"/>
    <w:rsid w:val="00436E5B"/>
    <w:rsid w:val="004443EB"/>
    <w:rsid w:val="004C1228"/>
    <w:rsid w:val="004F713E"/>
    <w:rsid w:val="005B1E69"/>
    <w:rsid w:val="00647D41"/>
    <w:rsid w:val="006834ED"/>
    <w:rsid w:val="006D40A1"/>
    <w:rsid w:val="00705E0A"/>
    <w:rsid w:val="007C5D93"/>
    <w:rsid w:val="008A1949"/>
    <w:rsid w:val="008E1B7E"/>
    <w:rsid w:val="009152AC"/>
    <w:rsid w:val="009E590F"/>
    <w:rsid w:val="00A61EEE"/>
    <w:rsid w:val="00AA7F09"/>
    <w:rsid w:val="00B02BB7"/>
    <w:rsid w:val="00B55CF9"/>
    <w:rsid w:val="00BA6178"/>
    <w:rsid w:val="00BC7226"/>
    <w:rsid w:val="00C35D52"/>
    <w:rsid w:val="00D93D25"/>
    <w:rsid w:val="00D94213"/>
    <w:rsid w:val="00F5669D"/>
    <w:rsid w:val="00FA4C47"/>
    <w:rsid w:val="00FF5E1F"/>
    <w:rsid w:val="01BD1412"/>
    <w:rsid w:val="038B7288"/>
    <w:rsid w:val="10412826"/>
    <w:rsid w:val="126958FF"/>
    <w:rsid w:val="171E4694"/>
    <w:rsid w:val="1E8A0861"/>
    <w:rsid w:val="217A79CF"/>
    <w:rsid w:val="2C2916B9"/>
    <w:rsid w:val="2DAD3B11"/>
    <w:rsid w:val="30B359F5"/>
    <w:rsid w:val="338F6260"/>
    <w:rsid w:val="3756532C"/>
    <w:rsid w:val="39995AAB"/>
    <w:rsid w:val="449325D5"/>
    <w:rsid w:val="495413CD"/>
    <w:rsid w:val="4D9329DF"/>
    <w:rsid w:val="503A5393"/>
    <w:rsid w:val="547612F3"/>
    <w:rsid w:val="5AE12FDB"/>
    <w:rsid w:val="5DC664B8"/>
    <w:rsid w:val="6AA162E3"/>
    <w:rsid w:val="6D090170"/>
    <w:rsid w:val="6FA51132"/>
    <w:rsid w:val="70450300"/>
    <w:rsid w:val="72E1397E"/>
    <w:rsid w:val="79677BE6"/>
    <w:rsid w:val="7A100D8F"/>
    <w:rsid w:val="7FE60F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纯文本 Char"/>
    <w:basedOn w:val="9"/>
    <w:link w:val="3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2047</Words>
  <Characters>2165</Characters>
  <Lines>15</Lines>
  <Paragraphs>4</Paragraphs>
  <TotalTime>9</TotalTime>
  <ScaleCrop>false</ScaleCrop>
  <LinksUpToDate>false</LinksUpToDate>
  <CharactersWithSpaces>2169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2026-03-05T00:42:00Z</dcterms:created>
  <dc:creator>dell</dc:creator>
  <cp:lastModifiedBy>Administrator</cp:lastModifiedBy>
  <dcterms:modified xsi:type="dcterms:W3CDTF">2026-03-19T00:04:32Z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eyJoZGlkIjoiYzMxMjUyMDExYzhmN2VmOWFkYjQxMmJjMjg3ODdkMTIiLCJ1c2VySWQiOiI1MTY0NDQ1ODUifQ==</vt:lpwstr>
  </property>
  <property fmtid="{D5CDD505-2E9C-101B-9397-08002B2CF9AE}" pid="4" name="ICV">
    <vt:lpwstr>15893CB74C074E36BFA135E1E36C0D38_13</vt:lpwstr>
  </property>
</Properties>
</file>