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50" w:line="560" w:lineRule="exact"/>
        <w:ind w:left="0" w:leftChars="0" w:firstLine="0" w:firstLineChars="0"/>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幼儿保育专业人才培养方案</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2"/>
          <w:szCs w:val="40"/>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rPr>
      </w:pPr>
      <w:r>
        <w:rPr>
          <w:rFonts w:hint="eastAsia" w:ascii="黑体" w:hAnsi="黑体" w:eastAsia="黑体" w:cs="Arial"/>
          <w:color w:val="444444"/>
          <w:kern w:val="0"/>
          <w:sz w:val="32"/>
          <w:szCs w:val="32"/>
        </w:rPr>
        <w:t>一、专业名称及代码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专业名称:幼儿保育</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专业代码:770101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二、入学要求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初中毕业或具有同等学力者</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三、修业年限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3年</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四、职业面向</w:t>
      </w:r>
    </w:p>
    <w:tbl>
      <w:tblPr>
        <w:tblStyle w:val="4"/>
        <w:tblW w:w="8715" w:type="dxa"/>
        <w:tblInd w:w="2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1485"/>
        <w:gridCol w:w="3030"/>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60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专业大类</w:t>
            </w:r>
          </w:p>
        </w:tc>
        <w:tc>
          <w:tcPr>
            <w:tcW w:w="148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专业名称</w:t>
            </w: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对应职业（岗位）</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职业资格证书举例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5" w:type="dxa"/>
            <w:vMerge w:val="restart"/>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770教育类</w:t>
            </w:r>
          </w:p>
        </w:tc>
        <w:tc>
          <w:tcPr>
            <w:tcW w:w="1485" w:type="dxa"/>
            <w:vMerge w:val="restart"/>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幼儿保育</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770101</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rPr>
            </w:pP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幼儿园保育员</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保育员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148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育婴员</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育婴员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148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育婴师</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育婴师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148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幼儿园、早教机构教师</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幼儿园教师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1485" w:type="dxa"/>
            <w:vMerge w:val="continue"/>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p>
        </w:tc>
        <w:tc>
          <w:tcPr>
            <w:tcW w:w="3030"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32"/>
                <w:szCs w:val="32"/>
                <w:vertAlign w:val="subscript"/>
              </w:rPr>
            </w:pPr>
            <w:r>
              <w:rPr>
                <w:rFonts w:hint="eastAsia" w:ascii="仿宋_GB2312" w:hAnsi="仿宋_GB2312" w:eastAsia="仿宋_GB2312" w:cs="仿宋_GB2312"/>
                <w:color w:val="auto"/>
                <w:sz w:val="28"/>
                <w:szCs w:val="28"/>
              </w:rPr>
              <w:t>保育员</w:t>
            </w:r>
          </w:p>
        </w:tc>
        <w:tc>
          <w:tcPr>
            <w:tcW w:w="2595" w:type="dxa"/>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1+X幼儿照护</w:t>
            </w: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接续专业: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高职专科专业举例：学前教育、早期教育、婴幼儿托育服务与管理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高职本科专业举例：学前教育、婴幼儿发展与健康管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普通本科专业举例：学前教育</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五、培养目标与培养规格</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（一）培养目标</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本专业培养德智体美劳全面发展，掌握扎实的科学文化基础和幼儿保育等知识，具备幼儿保育、安全健康照护、早期发展支持等能力，具有教育情怀和信息素养，能够从事托幼园所幼儿保育、幼儿照护服务等工作的技术技能人才。</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（二）培养规格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w:t>
      </w:r>
      <w:r>
        <w:rPr>
          <w:rFonts w:hint="eastAsia" w:ascii="仿宋_GB2312" w:eastAsia="仿宋_GB2312"/>
          <w:sz w:val="32"/>
          <w:szCs w:val="24"/>
          <w:lang w:eastAsia="zh-CN"/>
        </w:rPr>
        <w:t>思想品德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(1)拥护中国共产党的领导,具有正确的世界观、人生观、价值观,理解和践行社会主义核心价值观。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(2)具备运用马克思主义哲学的基本观点、方法分析和解决人生发展重要问题的能力,有为国家富强、民族昌盛而奋斗的志向和责任感。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(3)具有正确的职业理想和职业观、择业观、创业观以及成才观,具有良好的职业道德行为习惯和法律意识。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(4)具有良好的团队协作精神、沟通能力和环境适应能力，养成自觉的安全意识、质量意识、成本意识和环保意识。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w:t>
      </w:r>
      <w:r>
        <w:rPr>
          <w:rFonts w:hint="eastAsia" w:ascii="仿宋_GB2312" w:eastAsia="仿宋_GB2312"/>
          <w:sz w:val="32"/>
          <w:szCs w:val="24"/>
          <w:lang w:val="en-US" w:eastAsia="zh-CN"/>
        </w:rPr>
        <w:t>.</w:t>
      </w:r>
      <w:r>
        <w:rPr>
          <w:rFonts w:hint="eastAsia" w:ascii="仿宋_GB2312" w:eastAsia="仿宋_GB2312"/>
          <w:sz w:val="32"/>
          <w:szCs w:val="24"/>
          <w:lang w:eastAsia="zh-CN"/>
        </w:rPr>
        <w:t>科学文化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理解和掌握本专业必要的科学文化知识,为继续学习和终身发展奠定基础。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(1)具有日常生活和职业岗位需要的现代文阅读能力、写作能力、口语交际能力，具有初步的文学作品欣赏能力和浅易文言文阅读能力，能弘扬民族优秀文化和吸收人类进步文化。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(2)具有计算技能、计算工具使用技能和数据处理基本技能，以及观察能力、空间想象能力、分析与解决问题能力和数学思维能力。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(3)具有英语听、说、读、写等基本语言技能,以及职场英语的基本应用能力。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(4)具有利用计算机解决学习、工作、生活中常见问题的基本能力。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(5)掌握体育与健康的基本知识、体育技能和方法。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(6)具有一定的艺术鉴赏能力和对艺术的理解与分析评判的能力。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w:t>
      </w:r>
      <w:r>
        <w:rPr>
          <w:rFonts w:hint="eastAsia" w:ascii="仿宋_GB2312" w:eastAsia="仿宋_GB2312"/>
          <w:sz w:val="32"/>
          <w:szCs w:val="24"/>
          <w:lang w:val="en-US" w:eastAsia="zh-CN"/>
        </w:rPr>
        <w:t>.</w:t>
      </w:r>
      <w:r>
        <w:rPr>
          <w:rFonts w:hint="eastAsia" w:ascii="仿宋_GB2312" w:eastAsia="仿宋_GB2312"/>
          <w:sz w:val="32"/>
          <w:szCs w:val="24"/>
          <w:lang w:eastAsia="zh-CN"/>
        </w:rPr>
        <w:t>职业能力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(1)掌握学前儿童卫生保健</w:t>
      </w:r>
      <w:bookmarkStart w:id="0" w:name="_GoBack"/>
      <w:bookmarkEnd w:id="0"/>
      <w:r>
        <w:rPr>
          <w:rFonts w:hint="eastAsia" w:ascii="仿宋_GB2312" w:eastAsia="仿宋_GB2312"/>
          <w:sz w:val="32"/>
          <w:szCs w:val="24"/>
          <w:lang w:eastAsia="zh-CN"/>
        </w:rPr>
        <w:t>的基础知识，理解幼儿保育工作的意义，具有在幼儿园一日活动中做好保育工作的能力；能运用疾病预防、安全防护与救助的基本方法和技能，保护学前儿童健康发展。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掌握学前儿童发展心理基础知识，了解幼儿发展各阶段的特点，知道幼儿学习的主要方式和特点，能初步观察与解释幼儿行为所表达的心理需求；信任幼儿，尊重个体差异，主动了解和满足有益于幼儿身心发展的不同需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(3)了解幼儿园学习与发展的基本知识，以及幼儿教育目标、策略的基本方法；具备幼儿园教育活动与游戏的组织实施能力；能与幼儿友好相处、交往、互动与合作，能调动家庭和社会的幼儿教育要素。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(4)掌握幼儿园教育质量评价的基本方法与技能；能够运用多种方式公平、全面的评价幼儿；及时发现和赏识幼儿的进步，注重激发和保护幼儿的积极性、自信心。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（5）具备幼儿园一日生活的组织与管理能力，能将教育合理渗透到幼儿生活各个环节中；能够科学照料幼儿生活，做好常规管理工作；能够及时处理幼儿常见疾病与突发事故。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(6)了解幼儿园班级工作内容及特点；掌握幼儿园班级管理的基本技能。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(7)了解幼儿文学特征和功能，掌握儿童文学的常载体，初步了解文学作品的特点、作用；具有幼儿文学作品的阅读、分析、欣赏与评价能力。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(8)掌握一定的乐理、视唱、音乐欣赏等基本知识,发展音乐听觉与记忆，能够结合键盘、声乐等技能训练理解并正确运用。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(9)掌握我国基本舞蹈基本知识的技能,具备辅导幼儿形体训练,指导幼儿舞蹈排练的能力。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(10)掌握歌曲演唱的基本知识与技能,能够指导幼儿学唱和表演,排练合唱的能力。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(11)掌握键盘乐器演奏的基本知识与基本技能,能够正确演奏不同风格、内容的简单器乐作品,具有为幼儿歌曲变配件单伴奏的能力。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(12)掌握绘画、图案、简笔画及手工制作的基本知识与技能,能够指导幼儿学习绘画；能够恰当、熟练运用简笔画；能够选择适宜材料、运用正确的技法开展手工制作。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(13)掌握育儿语言特点和教师语言技能,能用普通话准确、清晰、亲切的进行口语表达。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(14)理解幼儿园教育环境创设的基本内容和方法,能设计制作墙饰,能够合理利用资源,为幼儿提供适宜的游戏材料；能用普通话准确、清晰、亲切的进行口语表达。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(15)初步掌握0-3岁婴幼儿保育的有关知识,掌握婴幼儿教养活动的方法与基本技能,能初步运用婴幼儿教养知识开展并指导家长进行早期教育。</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24"/>
          <w:lang w:eastAsia="zh-CN"/>
        </w:rPr>
      </w:pPr>
      <w:r>
        <w:rPr>
          <w:rFonts w:hint="eastAsia" w:ascii="黑体" w:hAnsi="黑体" w:eastAsia="黑体" w:cs="Arial"/>
          <w:color w:val="444444"/>
          <w:kern w:val="0"/>
          <w:sz w:val="32"/>
          <w:szCs w:val="32"/>
          <w:lang w:eastAsia="zh-CN"/>
        </w:rPr>
        <w:t>六、课程设置及要求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w:t>
      </w:r>
      <w:r>
        <w:rPr>
          <w:rFonts w:hint="eastAsia" w:ascii="仿宋_GB2312" w:eastAsia="仿宋_GB2312"/>
          <w:sz w:val="32"/>
          <w:szCs w:val="24"/>
          <w:lang w:val="en-US" w:eastAsia="zh-CN"/>
        </w:rPr>
        <w:t>1</w:t>
      </w:r>
      <w:r>
        <w:rPr>
          <w:rFonts w:hint="eastAsia" w:ascii="仿宋_GB2312" w:eastAsia="仿宋_GB2312"/>
          <w:sz w:val="32"/>
          <w:szCs w:val="24"/>
          <w:lang w:eastAsia="zh-CN"/>
        </w:rPr>
        <w:t>)本专业三年总学时为</w:t>
      </w:r>
      <w:r>
        <w:rPr>
          <w:rFonts w:hint="eastAsia" w:ascii="仿宋_GB2312" w:eastAsia="仿宋_GB2312"/>
          <w:sz w:val="32"/>
          <w:szCs w:val="24"/>
          <w:lang w:val="en-US" w:eastAsia="zh-CN"/>
        </w:rPr>
        <w:t>3654</w:t>
      </w:r>
      <w:r>
        <w:rPr>
          <w:rFonts w:hint="eastAsia" w:ascii="仿宋_GB2312" w:eastAsia="仿宋_GB2312"/>
          <w:sz w:val="32"/>
          <w:szCs w:val="24"/>
          <w:lang w:eastAsia="zh-CN"/>
        </w:rPr>
        <w:t>学时,其中公共课</w:t>
      </w:r>
      <w:r>
        <w:rPr>
          <w:rFonts w:hint="eastAsia" w:ascii="仿宋_GB2312" w:eastAsia="仿宋_GB2312"/>
          <w:sz w:val="32"/>
          <w:szCs w:val="24"/>
          <w:lang w:val="en-US" w:eastAsia="zh-CN"/>
        </w:rPr>
        <w:t>1206</w:t>
      </w:r>
      <w:r>
        <w:rPr>
          <w:rFonts w:hint="eastAsia" w:ascii="仿宋_GB2312" w:eastAsia="仿宋_GB2312"/>
          <w:sz w:val="32"/>
          <w:szCs w:val="24"/>
          <w:lang w:eastAsia="zh-CN"/>
        </w:rPr>
        <w:t>学时,占3</w:t>
      </w:r>
      <w:r>
        <w:rPr>
          <w:rFonts w:hint="eastAsia" w:ascii="仿宋_GB2312" w:eastAsia="仿宋_GB2312"/>
          <w:sz w:val="32"/>
          <w:szCs w:val="24"/>
          <w:lang w:val="en-US" w:eastAsia="zh-CN"/>
        </w:rPr>
        <w:t>3</w:t>
      </w:r>
      <w:r>
        <w:rPr>
          <w:rFonts w:hint="eastAsia" w:ascii="仿宋_GB2312" w:eastAsia="仿宋_GB2312"/>
          <w:sz w:val="32"/>
          <w:szCs w:val="24"/>
          <w:lang w:eastAsia="zh-CN"/>
        </w:rPr>
        <w:t>%,专业课</w:t>
      </w:r>
      <w:r>
        <w:rPr>
          <w:rFonts w:hint="eastAsia" w:ascii="仿宋_GB2312" w:eastAsia="仿宋_GB2312"/>
          <w:sz w:val="32"/>
          <w:szCs w:val="24"/>
          <w:lang w:val="en-US" w:eastAsia="zh-CN"/>
        </w:rPr>
        <w:t>1836</w:t>
      </w:r>
      <w:r>
        <w:rPr>
          <w:rFonts w:hint="eastAsia" w:ascii="仿宋_GB2312" w:eastAsia="仿宋_GB2312"/>
          <w:sz w:val="32"/>
          <w:szCs w:val="24"/>
          <w:lang w:eastAsia="zh-CN"/>
        </w:rPr>
        <w:t>学时,占</w:t>
      </w:r>
      <w:r>
        <w:rPr>
          <w:rFonts w:hint="eastAsia" w:ascii="仿宋_GB2312" w:eastAsia="仿宋_GB2312"/>
          <w:sz w:val="32"/>
          <w:szCs w:val="24"/>
          <w:lang w:val="en-US" w:eastAsia="zh-CN"/>
        </w:rPr>
        <w:t>50.25</w:t>
      </w:r>
      <w:r>
        <w:rPr>
          <w:rFonts w:hint="eastAsia" w:ascii="仿宋_GB2312" w:eastAsia="仿宋_GB2312"/>
          <w:sz w:val="32"/>
          <w:szCs w:val="24"/>
          <w:lang w:eastAsia="zh-CN"/>
        </w:rPr>
        <w:t>%；顶岗实习与社会实践</w:t>
      </w:r>
      <w:r>
        <w:rPr>
          <w:rFonts w:hint="eastAsia" w:ascii="仿宋_GB2312" w:eastAsia="仿宋_GB2312"/>
          <w:sz w:val="32"/>
          <w:szCs w:val="24"/>
          <w:lang w:val="en-US" w:eastAsia="zh-CN"/>
        </w:rPr>
        <w:t>636</w:t>
      </w:r>
      <w:r>
        <w:rPr>
          <w:rFonts w:hint="eastAsia" w:ascii="仿宋_GB2312" w:eastAsia="仿宋_GB2312"/>
          <w:sz w:val="32"/>
          <w:szCs w:val="24"/>
          <w:lang w:eastAsia="zh-CN"/>
        </w:rPr>
        <w:t>学时,占</w:t>
      </w:r>
      <w:r>
        <w:rPr>
          <w:rFonts w:hint="eastAsia" w:ascii="仿宋_GB2312" w:eastAsia="仿宋_GB2312"/>
          <w:sz w:val="32"/>
          <w:szCs w:val="24"/>
          <w:lang w:val="en-US" w:eastAsia="zh-CN"/>
        </w:rPr>
        <w:t>17.41</w:t>
      </w:r>
      <w:r>
        <w:rPr>
          <w:rFonts w:hint="eastAsia" w:ascii="仿宋_GB2312" w:eastAsia="仿宋_GB2312"/>
          <w:sz w:val="32"/>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w:t>
      </w:r>
      <w:r>
        <w:rPr>
          <w:rFonts w:hint="eastAsia" w:ascii="仿宋_GB2312" w:eastAsia="仿宋_GB2312"/>
          <w:sz w:val="32"/>
          <w:szCs w:val="24"/>
          <w:lang w:val="en-US" w:eastAsia="zh-CN"/>
        </w:rPr>
        <w:t>2</w:t>
      </w:r>
      <w:r>
        <w:rPr>
          <w:rFonts w:hint="eastAsia" w:ascii="仿宋_GB2312" w:eastAsia="仿宋_GB2312"/>
          <w:sz w:val="32"/>
          <w:szCs w:val="24"/>
          <w:lang w:eastAsia="zh-CN"/>
        </w:rPr>
        <w:t>)公共课、顶岗实习与社会实践课、专业课中的</w:t>
      </w:r>
      <w:r>
        <w:rPr>
          <w:rFonts w:hint="eastAsia" w:ascii="仿宋_GB2312" w:eastAsia="仿宋_GB2312"/>
          <w:sz w:val="32"/>
          <w:szCs w:val="24"/>
          <w:lang w:val="en-US" w:eastAsia="zh-CN"/>
        </w:rPr>
        <w:t>基础课程、</w:t>
      </w:r>
      <w:r>
        <w:rPr>
          <w:rFonts w:hint="eastAsia" w:ascii="仿宋_GB2312" w:eastAsia="仿宋_GB2312"/>
          <w:sz w:val="32"/>
          <w:szCs w:val="24"/>
          <w:lang w:eastAsia="zh-CN"/>
        </w:rPr>
        <w:t>专业</w:t>
      </w:r>
      <w:r>
        <w:rPr>
          <w:rFonts w:hint="eastAsia" w:ascii="仿宋_GB2312" w:eastAsia="仿宋_GB2312"/>
          <w:sz w:val="32"/>
          <w:szCs w:val="24"/>
          <w:lang w:val="en-US" w:eastAsia="zh-CN"/>
        </w:rPr>
        <w:t>核心课程</w:t>
      </w:r>
      <w:r>
        <w:rPr>
          <w:rFonts w:hint="eastAsia" w:ascii="仿宋_GB2312" w:eastAsia="仿宋_GB2312"/>
          <w:sz w:val="32"/>
          <w:szCs w:val="24"/>
          <w:lang w:eastAsia="zh-CN"/>
        </w:rPr>
        <w:t>模块为必修内容；专业课中的</w:t>
      </w:r>
      <w:r>
        <w:rPr>
          <w:rFonts w:hint="eastAsia" w:ascii="仿宋_GB2312" w:eastAsia="仿宋_GB2312"/>
          <w:sz w:val="32"/>
          <w:szCs w:val="24"/>
          <w:lang w:val="en-US" w:eastAsia="zh-CN"/>
        </w:rPr>
        <w:t>选修</w:t>
      </w:r>
      <w:r>
        <w:rPr>
          <w:rFonts w:hint="eastAsia" w:ascii="仿宋_GB2312" w:eastAsia="仿宋_GB2312"/>
          <w:sz w:val="32"/>
          <w:szCs w:val="24"/>
          <w:lang w:eastAsia="zh-CN"/>
        </w:rPr>
        <w:t>课程为限选课。</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30"/>
          <w:szCs w:val="30"/>
        </w:rPr>
      </w:pPr>
    </w:p>
    <w:p>
      <w:pPr>
        <w:keepNext w:val="0"/>
        <w:keepLines w:val="0"/>
        <w:pageBreakBefore w:val="0"/>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b/>
          <w:bCs/>
          <w:color w:val="auto"/>
          <w:sz w:val="30"/>
          <w:szCs w:val="30"/>
          <w:lang w:val="en-US" w:eastAsia="zh-CN"/>
        </w:rPr>
      </w:pPr>
      <w:r>
        <w:rPr>
          <w:rFonts w:hint="eastAsia" w:ascii="仿宋_GB2312" w:hAnsi="仿宋_GB2312" w:eastAsia="仿宋_GB2312" w:cs="仿宋_GB2312"/>
          <w:b/>
          <w:bCs/>
          <w:color w:val="auto"/>
          <w:sz w:val="30"/>
          <w:szCs w:val="30"/>
        </w:rPr>
        <w:t>（一）公共</w:t>
      </w:r>
      <w:r>
        <w:rPr>
          <w:rFonts w:hint="eastAsia" w:ascii="仿宋_GB2312" w:hAnsi="仿宋_GB2312" w:eastAsia="仿宋_GB2312" w:cs="仿宋_GB2312"/>
          <w:b/>
          <w:bCs/>
          <w:color w:val="auto"/>
          <w:sz w:val="30"/>
          <w:szCs w:val="30"/>
          <w:lang w:val="en-US" w:eastAsia="zh-CN"/>
        </w:rPr>
        <w:t>基础</w:t>
      </w:r>
      <w:r>
        <w:rPr>
          <w:rFonts w:hint="eastAsia" w:ascii="仿宋_GB2312" w:hAnsi="仿宋_GB2312" w:eastAsia="仿宋_GB2312" w:cs="仿宋_GB2312"/>
          <w:b/>
          <w:bCs/>
          <w:color w:val="auto"/>
          <w:sz w:val="30"/>
          <w:szCs w:val="30"/>
        </w:rPr>
        <w:t>课</w:t>
      </w:r>
      <w:r>
        <w:rPr>
          <w:rFonts w:hint="eastAsia" w:ascii="仿宋_GB2312" w:hAnsi="仿宋_GB2312" w:eastAsia="仿宋_GB2312" w:cs="仿宋_GB2312"/>
          <w:b/>
          <w:bCs/>
          <w:color w:val="auto"/>
          <w:sz w:val="30"/>
          <w:szCs w:val="30"/>
          <w:lang w:val="en-US" w:eastAsia="zh-CN"/>
        </w:rPr>
        <w:t>1206学时</w:t>
      </w:r>
    </w:p>
    <w:tbl>
      <w:tblPr>
        <w:tblStyle w:val="3"/>
        <w:tblW w:w="8962" w:type="dxa"/>
        <w:jc w:val="center"/>
        <w:tblLayout w:type="fixed"/>
        <w:tblCellMar>
          <w:top w:w="0" w:type="dxa"/>
          <w:left w:w="0" w:type="dxa"/>
          <w:bottom w:w="0" w:type="dxa"/>
          <w:right w:w="0" w:type="dxa"/>
        </w:tblCellMar>
      </w:tblPr>
      <w:tblGrid>
        <w:gridCol w:w="615"/>
        <w:gridCol w:w="742"/>
        <w:gridCol w:w="6822"/>
        <w:gridCol w:w="783"/>
      </w:tblGrid>
      <w:tr>
        <w:tblPrEx>
          <w:tblCellMar>
            <w:top w:w="0" w:type="dxa"/>
            <w:left w:w="0" w:type="dxa"/>
            <w:bottom w:w="0" w:type="dxa"/>
            <w:right w:w="0" w:type="dxa"/>
          </w:tblCellMar>
        </w:tblPrEx>
        <w:trPr>
          <w:trHeight w:val="827" w:hRule="atLeast"/>
          <w:jc w:val="center"/>
        </w:trPr>
        <w:tc>
          <w:tcPr>
            <w:tcW w:w="6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序号</w:t>
            </w:r>
          </w:p>
        </w:tc>
        <w:tc>
          <w:tcPr>
            <w:tcW w:w="74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名称</w:t>
            </w:r>
          </w:p>
        </w:tc>
        <w:tc>
          <w:tcPr>
            <w:tcW w:w="682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1440" w:firstLineChars="6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主要教学内容和要求</w:t>
            </w:r>
          </w:p>
        </w:tc>
        <w:tc>
          <w:tcPr>
            <w:tcW w:w="78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参考</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学时</w:t>
            </w:r>
          </w:p>
        </w:tc>
      </w:tr>
      <w:tr>
        <w:tblPrEx>
          <w:tblCellMar>
            <w:top w:w="0" w:type="dxa"/>
            <w:left w:w="0" w:type="dxa"/>
            <w:bottom w:w="0" w:type="dxa"/>
            <w:right w:w="0" w:type="dxa"/>
          </w:tblCellMar>
        </w:tblPrEx>
        <w:trPr>
          <w:trHeight w:val="1616" w:hRule="atLeast"/>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中国特色社会主义</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CellMar>
            <w:top w:w="0" w:type="dxa"/>
            <w:left w:w="0" w:type="dxa"/>
            <w:bottom w:w="0" w:type="dxa"/>
            <w:right w:w="0" w:type="dxa"/>
          </w:tblCellMar>
        </w:tblPrEx>
        <w:trPr>
          <w:trHeight w:val="90" w:hRule="atLeast"/>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2</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val="en-US" w:eastAsia="zh-CN"/>
              </w:rPr>
              <w:t>心理健康与职业生涯</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3</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哲学与人生</w:t>
            </w:r>
          </w:p>
        </w:tc>
        <w:tc>
          <w:tcPr>
            <w:tcW w:w="6822" w:type="dxa"/>
            <w:tcBorders>
              <w:top w:val="nil"/>
              <w:left w:val="nil"/>
              <w:bottom w:val="single" w:color="auto" w:sz="8" w:space="0"/>
              <w:right w:val="single" w:color="auto" w:sz="8"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4</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职业道德与法律</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b/>
                <w:bCs/>
                <w:color w:val="auto"/>
                <w:kern w:val="0"/>
                <w:sz w:val="24"/>
                <w:lang w:val="en-US" w:eastAsia="zh-CN"/>
              </w:rPr>
              <w:t>5</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语文</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198</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b/>
                <w:bCs/>
                <w:color w:val="auto"/>
                <w:kern w:val="0"/>
                <w:sz w:val="24"/>
                <w:lang w:val="en-US" w:eastAsia="zh-CN"/>
              </w:rPr>
              <w:t>6</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数学</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1</w:t>
            </w:r>
            <w:r>
              <w:rPr>
                <w:rFonts w:hint="eastAsia" w:ascii="仿宋_GB2312" w:hAnsi="仿宋_GB2312" w:eastAsia="仿宋_GB2312" w:cs="仿宋_GB2312"/>
                <w:color w:val="auto"/>
                <w:kern w:val="0"/>
                <w:sz w:val="24"/>
                <w:lang w:val="en-US" w:eastAsia="zh-CN"/>
              </w:rPr>
              <w:t>44</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b/>
                <w:bCs/>
                <w:color w:val="auto"/>
                <w:kern w:val="0"/>
                <w:sz w:val="24"/>
                <w:lang w:val="en-US" w:eastAsia="zh-CN"/>
              </w:rPr>
              <w:t>7</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英语</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144</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b/>
                <w:bCs/>
                <w:color w:val="auto"/>
                <w:kern w:val="0"/>
                <w:sz w:val="24"/>
                <w:lang w:val="en-US" w:eastAsia="zh-CN"/>
              </w:rPr>
              <w:t>8</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信息技术</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144</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b/>
                <w:bCs/>
                <w:color w:val="auto"/>
                <w:kern w:val="0"/>
                <w:sz w:val="24"/>
                <w:lang w:val="en-US" w:eastAsia="zh-CN"/>
              </w:rPr>
              <w:t>9</w:t>
            </w:r>
          </w:p>
        </w:tc>
        <w:tc>
          <w:tcPr>
            <w:tcW w:w="74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体育与健康</w:t>
            </w:r>
          </w:p>
        </w:tc>
        <w:tc>
          <w:tcPr>
            <w:tcW w:w="6822" w:type="dxa"/>
            <w:tcBorders>
              <w:top w:val="nil"/>
              <w:left w:val="nil"/>
              <w:bottom w:val="single" w:color="auto" w:sz="8"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180</w:t>
            </w:r>
          </w:p>
        </w:tc>
      </w:tr>
      <w:tr>
        <w:tblPrEx>
          <w:tblCellMar>
            <w:top w:w="0" w:type="dxa"/>
            <w:left w:w="0" w:type="dxa"/>
            <w:bottom w:w="0" w:type="dxa"/>
            <w:right w:w="0" w:type="dxa"/>
          </w:tblCellMar>
        </w:tblPrEx>
        <w:trPr>
          <w:jc w:val="center"/>
        </w:trPr>
        <w:tc>
          <w:tcPr>
            <w:tcW w:w="61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b/>
                <w:bCs/>
                <w:color w:val="auto"/>
                <w:kern w:val="0"/>
                <w:sz w:val="24"/>
                <w:lang w:val="en-US" w:eastAsia="zh-CN"/>
              </w:rPr>
              <w:t>10</w:t>
            </w:r>
          </w:p>
        </w:tc>
        <w:tc>
          <w:tcPr>
            <w:tcW w:w="742" w:type="dxa"/>
            <w:tcBorders>
              <w:top w:val="nil"/>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艺术</w:t>
            </w:r>
          </w:p>
        </w:tc>
        <w:tc>
          <w:tcPr>
            <w:tcW w:w="6822" w:type="dxa"/>
            <w:tcBorders>
              <w:top w:val="nil"/>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nil"/>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CellMar>
            <w:top w:w="0" w:type="dxa"/>
            <w:left w:w="0" w:type="dxa"/>
            <w:bottom w:w="0" w:type="dxa"/>
            <w:right w:w="0" w:type="dxa"/>
          </w:tblCellMar>
        </w:tblPrEx>
        <w:trPr>
          <w:trHeight w:val="1035" w:hRule="atLeast"/>
          <w:jc w:val="center"/>
        </w:trPr>
        <w:tc>
          <w:tcPr>
            <w:tcW w:w="61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11</w:t>
            </w:r>
          </w:p>
        </w:tc>
        <w:tc>
          <w:tcPr>
            <w:tcW w:w="74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历史</w:t>
            </w:r>
          </w:p>
        </w:tc>
        <w:tc>
          <w:tcPr>
            <w:tcW w:w="682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72</w:t>
            </w:r>
          </w:p>
        </w:tc>
      </w:tr>
      <w:tr>
        <w:tblPrEx>
          <w:tblCellMar>
            <w:top w:w="0" w:type="dxa"/>
            <w:left w:w="0" w:type="dxa"/>
            <w:bottom w:w="0" w:type="dxa"/>
            <w:right w:w="0" w:type="dxa"/>
          </w:tblCellMar>
        </w:tblPrEx>
        <w:trPr>
          <w:trHeight w:val="90" w:hRule="atLeast"/>
          <w:jc w:val="center"/>
        </w:trPr>
        <w:tc>
          <w:tcPr>
            <w:tcW w:w="61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12</w:t>
            </w:r>
          </w:p>
        </w:tc>
        <w:tc>
          <w:tcPr>
            <w:tcW w:w="74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val="en-US" w:eastAsia="zh-CN"/>
              </w:rPr>
              <w:t>劳动教育</w:t>
            </w:r>
          </w:p>
        </w:tc>
        <w:tc>
          <w:tcPr>
            <w:tcW w:w="682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90</w:t>
            </w:r>
          </w:p>
        </w:tc>
      </w:tr>
      <w:tr>
        <w:tblPrEx>
          <w:tblCellMar>
            <w:top w:w="0" w:type="dxa"/>
            <w:left w:w="0" w:type="dxa"/>
            <w:bottom w:w="0" w:type="dxa"/>
            <w:right w:w="0" w:type="dxa"/>
          </w:tblCellMar>
        </w:tblPrEx>
        <w:trPr>
          <w:trHeight w:val="1335" w:hRule="atLeast"/>
          <w:jc w:val="center"/>
        </w:trPr>
        <w:tc>
          <w:tcPr>
            <w:tcW w:w="61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13</w:t>
            </w:r>
          </w:p>
        </w:tc>
        <w:tc>
          <w:tcPr>
            <w:tcW w:w="74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lang w:val="en-US" w:eastAsia="zh-CN"/>
              </w:rPr>
              <w:t>传统文化</w:t>
            </w:r>
          </w:p>
        </w:tc>
        <w:tc>
          <w:tcPr>
            <w:tcW w:w="682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18</w:t>
            </w:r>
          </w:p>
        </w:tc>
      </w:tr>
      <w:tr>
        <w:tblPrEx>
          <w:tblCellMar>
            <w:top w:w="0" w:type="dxa"/>
            <w:left w:w="0" w:type="dxa"/>
            <w:bottom w:w="0" w:type="dxa"/>
            <w:right w:w="0" w:type="dxa"/>
          </w:tblCellMar>
        </w:tblPrEx>
        <w:trPr>
          <w:trHeight w:val="1335" w:hRule="atLeast"/>
          <w:jc w:val="center"/>
        </w:trPr>
        <w:tc>
          <w:tcPr>
            <w:tcW w:w="61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szCs w:val="24"/>
                <w:lang w:val="en-US" w:eastAsia="zh-CN" w:bidi="ar-SA"/>
              </w:rPr>
            </w:pPr>
            <w:r>
              <w:rPr>
                <w:rFonts w:hint="eastAsia" w:ascii="仿宋_GB2312" w:hAnsi="仿宋_GB2312" w:eastAsia="仿宋_GB2312" w:cs="仿宋_GB2312"/>
                <w:b/>
                <w:bCs/>
                <w:color w:val="auto"/>
                <w:kern w:val="0"/>
                <w:sz w:val="24"/>
                <w:szCs w:val="24"/>
                <w:lang w:val="en-US" w:eastAsia="zh-CN" w:bidi="ar-SA"/>
              </w:rPr>
              <w:t>14</w:t>
            </w:r>
          </w:p>
        </w:tc>
        <w:tc>
          <w:tcPr>
            <w:tcW w:w="74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lang w:val="en-US" w:eastAsia="zh-CN"/>
              </w:rPr>
              <w:t>职业素养</w:t>
            </w:r>
          </w:p>
        </w:tc>
        <w:tc>
          <w:tcPr>
            <w:tcW w:w="682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rPr>
              <w:t>依据《中等职业学校公共基础课程方案》开设，并与专业实际和行业发展密切结合。</w:t>
            </w:r>
          </w:p>
        </w:tc>
        <w:tc>
          <w:tcPr>
            <w:tcW w:w="783"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lang w:val="en-US" w:eastAsia="zh-CN"/>
              </w:rPr>
              <w:t>18</w:t>
            </w:r>
          </w:p>
        </w:tc>
      </w:tr>
      <w:tr>
        <w:tblPrEx>
          <w:tblCellMar>
            <w:top w:w="0" w:type="dxa"/>
            <w:left w:w="0" w:type="dxa"/>
            <w:bottom w:w="0" w:type="dxa"/>
            <w:right w:w="0" w:type="dxa"/>
          </w:tblCellMar>
        </w:tblPrEx>
        <w:trPr>
          <w:trHeight w:val="1335" w:hRule="atLeast"/>
          <w:jc w:val="center"/>
        </w:trPr>
        <w:tc>
          <w:tcPr>
            <w:tcW w:w="61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szCs w:val="24"/>
                <w:lang w:val="en-US" w:eastAsia="zh-CN" w:bidi="ar-SA"/>
              </w:rPr>
            </w:pPr>
            <w:r>
              <w:rPr>
                <w:rFonts w:hint="eastAsia" w:ascii="仿宋_GB2312" w:hAnsi="仿宋_GB2312" w:eastAsia="仿宋_GB2312" w:cs="仿宋_GB2312"/>
                <w:b/>
                <w:bCs/>
                <w:color w:val="auto"/>
                <w:kern w:val="0"/>
                <w:sz w:val="24"/>
                <w:szCs w:val="24"/>
                <w:lang w:val="en-US" w:eastAsia="zh-CN" w:bidi="ar-SA"/>
              </w:rPr>
              <w:t>15</w:t>
            </w:r>
          </w:p>
        </w:tc>
        <w:tc>
          <w:tcPr>
            <w:tcW w:w="74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仿宋_GB2312" w:hAnsi="仿宋_GB2312" w:eastAsia="仿宋_GB2312" w:cs="仿宋_GB2312"/>
                <w:color w:val="auto"/>
                <w:kern w:val="0"/>
                <w:sz w:val="24"/>
                <w:lang w:val="en-US" w:eastAsia="zh-CN"/>
              </w:rPr>
              <w:t>创新创业教育</w:t>
            </w:r>
          </w:p>
        </w:tc>
        <w:tc>
          <w:tcPr>
            <w:tcW w:w="682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rPr>
              <w:t>依据《中等职业学校公共基础课程方案》开设，并与专业实际和行业发展密切结合</w:t>
            </w:r>
            <w:r>
              <w:rPr>
                <w:rFonts w:hint="eastAsia" w:ascii="仿宋_GB2312" w:hAnsi="仿宋_GB2312" w:eastAsia="仿宋_GB2312" w:cs="仿宋_GB2312"/>
                <w:color w:val="auto"/>
                <w:kern w:val="0"/>
                <w:sz w:val="24"/>
                <w:lang w:eastAsia="zh-CN"/>
              </w:rPr>
              <w:t>。</w:t>
            </w:r>
          </w:p>
        </w:tc>
        <w:tc>
          <w:tcPr>
            <w:tcW w:w="783"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18</w:t>
            </w:r>
          </w:p>
        </w:tc>
      </w:tr>
    </w:tbl>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rPr>
        <w:t>（二）专业课</w:t>
      </w:r>
      <w:r>
        <w:rPr>
          <w:rFonts w:hint="eastAsia" w:ascii="仿宋_GB2312" w:hAnsi="仿宋_GB2312" w:eastAsia="仿宋_GB2312" w:cs="仿宋_GB2312"/>
          <w:b/>
          <w:bCs/>
          <w:color w:val="auto"/>
          <w:kern w:val="0"/>
          <w:sz w:val="32"/>
          <w:szCs w:val="32"/>
          <w:lang w:val="en-US" w:eastAsia="zh-CN"/>
        </w:rPr>
        <w:t>1836学时</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1.专业</w:t>
      </w:r>
      <w:r>
        <w:rPr>
          <w:rFonts w:hint="eastAsia" w:ascii="仿宋_GB2312" w:hAnsi="仿宋_GB2312" w:eastAsia="仿宋_GB2312" w:cs="仿宋_GB2312"/>
          <w:b/>
          <w:bCs/>
          <w:color w:val="auto"/>
          <w:kern w:val="0"/>
          <w:sz w:val="32"/>
          <w:szCs w:val="32"/>
          <w:lang w:val="en-US" w:eastAsia="zh-CN"/>
        </w:rPr>
        <w:t>基础</w:t>
      </w:r>
      <w:r>
        <w:rPr>
          <w:rFonts w:hint="eastAsia" w:ascii="仿宋_GB2312" w:hAnsi="仿宋_GB2312" w:eastAsia="仿宋_GB2312" w:cs="仿宋_GB2312"/>
          <w:b/>
          <w:bCs/>
          <w:color w:val="auto"/>
          <w:kern w:val="0"/>
          <w:sz w:val="32"/>
          <w:szCs w:val="32"/>
        </w:rPr>
        <w:t>课</w:t>
      </w:r>
    </w:p>
    <w:tbl>
      <w:tblPr>
        <w:tblStyle w:val="3"/>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2"/>
        <w:gridCol w:w="750"/>
        <w:gridCol w:w="681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1"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序号</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名称</w:t>
            </w:r>
          </w:p>
        </w:tc>
        <w:tc>
          <w:tcPr>
            <w:tcW w:w="6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1440" w:firstLineChars="6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主要教学内容和要求</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参考</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5"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学前儿童卫生与保健</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掌握学前儿童解剖生理特点、生长发育规律及健康评价；掌握学前儿童所需营养的相关知识，并了解托幼机构的膳食管理；熟悉幼儿园的卫生保健制度。</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2</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学前心理学</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掌握学前儿童发展认知、情绪和情感、社会化、个性化和心理健康等方面发展规律和各年龄段发展的特征；了解儿童发展差异形成的原因，初步掌握了解幼儿心理的主要方法。</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rPr>
            </w:pPr>
            <w:r>
              <w:rPr>
                <w:rFonts w:hint="eastAsia" w:ascii="仿宋_GB2312" w:hAnsi="仿宋_GB2312" w:eastAsia="仿宋_GB2312" w:cs="仿宋_GB2312"/>
                <w:b/>
                <w:bCs/>
                <w:color w:val="auto"/>
                <w:kern w:val="0"/>
                <w:sz w:val="24"/>
              </w:rPr>
              <w:t>3</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学前教育学</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掌握学前教育基础知识和幼儿教育的一般原理，了解幼儿体育、智育、德育、美育的内容，幼儿园教学、游戏、日常生活、幼小衔接等知识。</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rPr>
            </w:pPr>
            <w:r>
              <w:rPr>
                <w:rFonts w:hint="eastAsia" w:ascii="仿宋_GB2312" w:hAnsi="仿宋_GB2312" w:eastAsia="仿宋_GB2312" w:cs="仿宋_GB2312"/>
                <w:b/>
                <w:bCs/>
                <w:color w:val="auto"/>
                <w:kern w:val="0"/>
                <w:sz w:val="24"/>
              </w:rPr>
              <w:t>4</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幼儿园教育活动设计与指导</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了解幼儿</w:t>
            </w:r>
            <w:r>
              <w:rPr>
                <w:rFonts w:hint="eastAsia" w:ascii="仿宋_GB2312" w:hAnsi="仿宋_GB2312" w:eastAsia="仿宋_GB2312" w:cs="仿宋_GB2312"/>
                <w:color w:val="auto"/>
                <w:kern w:val="0"/>
                <w:sz w:val="24"/>
                <w:lang w:val="en-US" w:eastAsia="zh-CN"/>
              </w:rPr>
              <w:t>健康、</w:t>
            </w:r>
            <w:r>
              <w:rPr>
                <w:rFonts w:hint="eastAsia" w:ascii="仿宋_GB2312" w:hAnsi="仿宋_GB2312" w:eastAsia="仿宋_GB2312" w:cs="仿宋_GB2312"/>
                <w:color w:val="auto"/>
                <w:kern w:val="0"/>
                <w:sz w:val="24"/>
              </w:rPr>
              <w:t>语言</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社会、科学、艺术等五大领域</w:t>
            </w:r>
            <w:r>
              <w:rPr>
                <w:rFonts w:hint="eastAsia" w:ascii="仿宋_GB2312" w:hAnsi="仿宋_GB2312" w:eastAsia="仿宋_GB2312" w:cs="仿宋_GB2312"/>
                <w:color w:val="auto"/>
                <w:kern w:val="0"/>
                <w:sz w:val="24"/>
              </w:rPr>
              <w:t>发展的特征，掌握幼儿园</w:t>
            </w:r>
            <w:r>
              <w:rPr>
                <w:rFonts w:hint="eastAsia" w:ascii="仿宋_GB2312" w:hAnsi="仿宋_GB2312" w:eastAsia="仿宋_GB2312" w:cs="仿宋_GB2312"/>
                <w:color w:val="auto"/>
                <w:kern w:val="0"/>
                <w:sz w:val="24"/>
                <w:lang w:val="en-US" w:eastAsia="zh-CN"/>
              </w:rPr>
              <w:t>五大</w:t>
            </w:r>
            <w:r>
              <w:rPr>
                <w:rFonts w:hint="eastAsia" w:ascii="仿宋_GB2312" w:hAnsi="仿宋_GB2312" w:eastAsia="仿宋_GB2312" w:cs="仿宋_GB2312"/>
                <w:color w:val="auto"/>
                <w:kern w:val="0"/>
                <w:sz w:val="24"/>
              </w:rPr>
              <w:t>领域活动目标及主要内容。</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5</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幼儿教师口语</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能够应用标准或比较标准的普通话，进行一般口语交际并开展教育、教学等活动。</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6</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幼儿园游戏</w:t>
            </w:r>
          </w:p>
        </w:tc>
        <w:tc>
          <w:tcPr>
            <w:tcW w:w="6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了解幼儿游戏的基本理论；能够创设幼儿游戏环境，能对多种幼儿游戏进行分类指导。</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szCs w:val="24"/>
                <w:lang w:val="en-US" w:eastAsia="zh-CN"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7</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幼儿文学阅读与指导</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rPr>
            </w:pPr>
            <w:r>
              <w:rPr>
                <w:rFonts w:hint="eastAsia" w:ascii="仿宋_GB2312" w:hAnsi="仿宋_GB2312" w:eastAsia="仿宋_GB2312" w:cs="仿宋_GB2312"/>
                <w:color w:val="auto"/>
                <w:kern w:val="0"/>
                <w:sz w:val="24"/>
                <w:lang w:val="en-US" w:eastAsia="zh-CN"/>
              </w:rPr>
              <w:t>了解幼儿文学的特征和功能，掌握幼儿文学的体裁，初步了解幼儿文学作品的特点、作用和基本结构；逐步掌握幼儿文学作品的表达技巧；能够对幼儿文学作品进行简单的改编与创作；会欣赏与评价幼儿文学作品。</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8</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幼儿教育政策与法规</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掌握、理解现行学前教育政策、法规及基本理论知识，学会初步运用法律武器解决教育活动中出现的法律问题，提高依法治教的能力，为依法治教奠定基础，同时注重培养学生解决实际问题的能力。</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bl>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2.专业核心课</w:t>
      </w:r>
    </w:p>
    <w:tbl>
      <w:tblPr>
        <w:tblStyle w:val="3"/>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2"/>
        <w:gridCol w:w="750"/>
        <w:gridCol w:w="681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1"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序号</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名称</w:t>
            </w:r>
          </w:p>
        </w:tc>
        <w:tc>
          <w:tcPr>
            <w:tcW w:w="6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1440" w:firstLineChars="6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主要教学内容和要求</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参考</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1</w:t>
            </w:r>
          </w:p>
        </w:tc>
        <w:tc>
          <w:tcPr>
            <w:tcW w:w="75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0-3岁婴幼儿抚育与教育</w:t>
            </w:r>
          </w:p>
        </w:tc>
        <w:tc>
          <w:tcPr>
            <w:tcW w:w="6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了解0-3岁幼儿生理与心理发展特征。初步掌握0-3岁幼儿抚育和教育的有关知识与基本方法。</w:t>
            </w:r>
          </w:p>
        </w:tc>
        <w:tc>
          <w:tcPr>
            <w:tcW w:w="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kern w:val="0"/>
                <w:sz w:val="24"/>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2</w:t>
            </w:r>
          </w:p>
        </w:tc>
        <w:tc>
          <w:tcPr>
            <w:tcW w:w="75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幼儿</w:t>
            </w:r>
            <w:r>
              <w:rPr>
                <w:rFonts w:hint="eastAsia" w:ascii="仿宋_GB2312" w:hAnsi="仿宋_GB2312" w:eastAsia="仿宋_GB2312" w:cs="仿宋_GB2312"/>
                <w:color w:val="auto"/>
                <w:kern w:val="0"/>
                <w:sz w:val="24"/>
                <w:lang w:val="en-US" w:eastAsia="zh-CN"/>
              </w:rPr>
              <w:t>生活照护</w:t>
            </w:r>
          </w:p>
        </w:tc>
        <w:tc>
          <w:tcPr>
            <w:tcW w:w="6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掌握包括幼儿进餐、幼儿饮水、幼儿睡眠、幼儿如厕、幼儿盥洗以及幼儿来园和离园照护等</w:t>
            </w:r>
            <w:r>
              <w:rPr>
                <w:rFonts w:hint="eastAsia" w:ascii="仿宋_GB2312" w:hAnsi="仿宋_GB2312" w:eastAsia="仿宋_GB2312" w:cs="仿宋_GB2312"/>
                <w:color w:val="auto"/>
                <w:kern w:val="0"/>
                <w:sz w:val="24"/>
                <w:lang w:val="en-US" w:eastAsia="zh-CN"/>
              </w:rPr>
              <w:t>保育工作。</w:t>
            </w:r>
          </w:p>
        </w:tc>
        <w:tc>
          <w:tcPr>
            <w:tcW w:w="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3</w:t>
            </w:r>
          </w:p>
        </w:tc>
        <w:tc>
          <w:tcPr>
            <w:tcW w:w="75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幼儿健康照护</w:t>
            </w:r>
          </w:p>
        </w:tc>
        <w:tc>
          <w:tcPr>
            <w:tcW w:w="6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掌握婴幼儿健康照护相关知识，提高学生的专业技能，培养学生婴幼儿健康照护的能力。</w:t>
            </w:r>
          </w:p>
        </w:tc>
        <w:tc>
          <w:tcPr>
            <w:tcW w:w="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4</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幼儿安全照护</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rPr>
            </w:pPr>
            <w:r>
              <w:rPr>
                <w:rFonts w:hint="eastAsia" w:ascii="仿宋_GB2312" w:hAnsi="仿宋_GB2312" w:eastAsia="仿宋_GB2312" w:cs="仿宋_GB2312"/>
                <w:color w:val="auto"/>
                <w:kern w:val="0"/>
                <w:sz w:val="24"/>
                <w:lang w:val="en-US" w:eastAsia="zh-CN"/>
              </w:rPr>
              <w:t>掌握</w:t>
            </w:r>
            <w:r>
              <w:rPr>
                <w:rFonts w:hint="default" w:ascii="仿宋_GB2312" w:hAnsi="仿宋_GB2312" w:eastAsia="仿宋_GB2312" w:cs="仿宋_GB2312"/>
                <w:color w:val="auto"/>
                <w:kern w:val="0"/>
                <w:sz w:val="24"/>
                <w:lang w:val="en-US"/>
              </w:rPr>
              <w:t>托幼机构中幼儿一日生活各环节的安全照护，托幼机构常见意外事故及传染病的预防和处理，以及幼儿安全教育。</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5</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2"/>
                <w:szCs w:val="22"/>
                <w:lang w:val="en-US" w:eastAsia="zh-CN"/>
              </w:rPr>
              <w:t>0-3岁幼儿行为观察与引导</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掌握幼儿行为观察与引导的基础性知识，提升对幼儿适宜行为的引导及偏差行为的干预，增强实践性知识与能力的培养。</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6</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家园社合作共育</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掌握家园社合作共育的基础知识和方法，提升家园社协同育人能力。</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bl>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3.专业技能课</w:t>
      </w:r>
    </w:p>
    <w:tbl>
      <w:tblPr>
        <w:tblStyle w:val="3"/>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2"/>
        <w:gridCol w:w="750"/>
        <w:gridCol w:w="6810"/>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1" w:hRule="atLeast"/>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序号</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名称</w:t>
            </w:r>
          </w:p>
        </w:tc>
        <w:tc>
          <w:tcPr>
            <w:tcW w:w="6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1440" w:firstLineChars="6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主要教学内容和要求</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参考</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lang w:eastAsia="zh-CN"/>
              </w:rPr>
            </w:pPr>
            <w:r>
              <w:rPr>
                <w:rFonts w:hint="eastAsia" w:ascii="仿宋_GB2312" w:hAnsi="仿宋_GB2312" w:eastAsia="仿宋_GB2312" w:cs="仿宋_GB2312"/>
                <w:b/>
                <w:bCs/>
                <w:color w:val="auto"/>
                <w:kern w:val="0"/>
                <w:sz w:val="24"/>
                <w:lang w:val="en-US" w:eastAsia="zh-CN"/>
              </w:rPr>
              <w:t>1</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乐理与视唱</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掌握声乐基础知识和歌唱的技能技巧，能处理一般的声乐作品，准确的表现歌曲的内涵与情感。</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lang w:eastAsia="zh-CN"/>
              </w:rPr>
            </w:pPr>
            <w:r>
              <w:rPr>
                <w:rFonts w:hint="eastAsia" w:ascii="仿宋_GB2312" w:hAnsi="仿宋_GB2312" w:eastAsia="仿宋_GB2312" w:cs="仿宋_GB2312"/>
                <w:b/>
                <w:bCs/>
                <w:color w:val="auto"/>
                <w:kern w:val="0"/>
                <w:sz w:val="24"/>
                <w:lang w:val="en-US" w:eastAsia="zh-CN"/>
              </w:rPr>
              <w:t>2</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键盘</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掌握键盘乐器演奏的基础知识和基本技能，能正确演奏不同内容、风格的键盘乐器简单作品。</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3</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幼儿歌曲</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掌握歌曲演唱的发生特点和生理机能，掌握学前儿童歌曲演唱的技能技巧和方法。</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4</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舞蹈</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掌握我国几种主要民族舞蹈的基本步伐和动作组合、儿童舞的基本舞步和动作组合、幼儿模仿动作。</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4"/>
                <w:lang w:eastAsia="zh-CN"/>
              </w:rPr>
            </w:pPr>
            <w:r>
              <w:rPr>
                <w:rFonts w:hint="eastAsia" w:ascii="仿宋_GB2312" w:hAnsi="仿宋_GB2312" w:eastAsia="仿宋_GB2312" w:cs="仿宋_GB2312"/>
                <w:b/>
                <w:bCs/>
                <w:color w:val="auto"/>
                <w:kern w:val="0"/>
                <w:sz w:val="24"/>
                <w:lang w:val="en-US" w:eastAsia="zh-CN"/>
              </w:rPr>
              <w:t>5</w:t>
            </w:r>
          </w:p>
        </w:tc>
        <w:tc>
          <w:tcPr>
            <w:tcW w:w="75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绘画</w:t>
            </w:r>
          </w:p>
        </w:tc>
        <w:tc>
          <w:tcPr>
            <w:tcW w:w="6810" w:type="dxa"/>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掌握图案、色彩、平面设计知识；能用基本绘画技能及简笔画法；能够初步指导幼儿绘画的创作，进行手工制做和环境创设等内容。</w:t>
            </w:r>
          </w:p>
        </w:tc>
        <w:tc>
          <w:tcPr>
            <w:tcW w:w="81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2"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lang w:val="en-US" w:eastAsia="zh-CN"/>
              </w:rPr>
              <w:t>6</w:t>
            </w:r>
          </w:p>
        </w:tc>
        <w:tc>
          <w:tcPr>
            <w:tcW w:w="75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手工</w:t>
            </w:r>
          </w:p>
        </w:tc>
        <w:tc>
          <w:tcPr>
            <w:tcW w:w="6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学会折纸、剪纸、泥工等各类手工技法，能根据幼儿园环境创设、教学活动的要求。</w:t>
            </w:r>
          </w:p>
        </w:tc>
        <w:tc>
          <w:tcPr>
            <w:tcW w:w="810" w:type="dxa"/>
            <w:tcMar>
              <w:top w:w="0" w:type="dxa"/>
              <w:left w:w="108" w:type="dxa"/>
              <w:bottom w:w="0" w:type="dxa"/>
              <w:right w:w="108" w:type="dxa"/>
            </w:tcMar>
            <w:vAlign w:val="top"/>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szCs w:val="24"/>
                <w:lang w:val="en-US" w:eastAsia="zh-CN" w:bidi="ar-SA"/>
              </w:rPr>
            </w:pPr>
            <w:r>
              <w:rPr>
                <w:rFonts w:hint="eastAsia" w:ascii="仿宋_GB2312" w:hAnsi="仿宋_GB2312" w:eastAsia="仿宋_GB2312" w:cs="仿宋_GB2312"/>
                <w:color w:val="auto"/>
                <w:lang w:val="en-US" w:eastAsia="zh-CN"/>
              </w:rPr>
              <w:t>144</w:t>
            </w:r>
          </w:p>
        </w:tc>
      </w:tr>
    </w:tbl>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专业限选</w:t>
      </w:r>
      <w:r>
        <w:rPr>
          <w:rFonts w:hint="eastAsia" w:ascii="仿宋_GB2312" w:hAnsi="仿宋_GB2312" w:eastAsia="仿宋_GB2312" w:cs="仿宋_GB2312"/>
          <w:color w:val="auto"/>
          <w:kern w:val="0"/>
          <w:sz w:val="32"/>
          <w:szCs w:val="32"/>
        </w:rPr>
        <w:t>课</w:t>
      </w:r>
    </w:p>
    <w:tbl>
      <w:tblPr>
        <w:tblStyle w:val="3"/>
        <w:tblW w:w="9012" w:type="dxa"/>
        <w:jc w:val="center"/>
        <w:tblLayout w:type="fixed"/>
        <w:tblCellMar>
          <w:top w:w="0" w:type="dxa"/>
          <w:left w:w="0" w:type="dxa"/>
          <w:bottom w:w="0" w:type="dxa"/>
          <w:right w:w="0" w:type="dxa"/>
        </w:tblCellMar>
      </w:tblPr>
      <w:tblGrid>
        <w:gridCol w:w="642"/>
        <w:gridCol w:w="750"/>
        <w:gridCol w:w="6810"/>
        <w:gridCol w:w="810"/>
      </w:tblGrid>
      <w:tr>
        <w:tblPrEx>
          <w:tblCellMar>
            <w:top w:w="0" w:type="dxa"/>
            <w:left w:w="0" w:type="dxa"/>
            <w:bottom w:w="0" w:type="dxa"/>
            <w:right w:w="0" w:type="dxa"/>
          </w:tblCellMar>
        </w:tblPrEx>
        <w:trPr>
          <w:trHeight w:val="1321" w:hRule="atLeast"/>
          <w:jc w:val="center"/>
        </w:trPr>
        <w:tc>
          <w:tcPr>
            <w:tcW w:w="64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序号</w:t>
            </w:r>
          </w:p>
        </w:tc>
        <w:tc>
          <w:tcPr>
            <w:tcW w:w="7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名称</w:t>
            </w:r>
          </w:p>
        </w:tc>
        <w:tc>
          <w:tcPr>
            <w:tcW w:w="68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1440" w:firstLineChars="6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主要教学内容和要求</w:t>
            </w:r>
          </w:p>
        </w:tc>
        <w:tc>
          <w:tcPr>
            <w:tcW w:w="8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参考</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学时</w:t>
            </w:r>
          </w:p>
        </w:tc>
      </w:tr>
      <w:tr>
        <w:tblPrEx>
          <w:tblCellMar>
            <w:top w:w="0" w:type="dxa"/>
            <w:left w:w="0" w:type="dxa"/>
            <w:bottom w:w="0" w:type="dxa"/>
            <w:right w:w="0" w:type="dxa"/>
          </w:tblCellMar>
        </w:tblPrEx>
        <w:trPr>
          <w:jc w:val="center"/>
        </w:trPr>
        <w:tc>
          <w:tcPr>
            <w:tcW w:w="64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lang w:val="en-US" w:eastAsia="zh-CN"/>
              </w:rPr>
              <w:t>1</w:t>
            </w:r>
          </w:p>
        </w:tc>
        <w:tc>
          <w:tcPr>
            <w:tcW w:w="7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幼儿园班级管理</w:t>
            </w:r>
          </w:p>
        </w:tc>
        <w:tc>
          <w:tcPr>
            <w:tcW w:w="681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val="en-US" w:eastAsia="zh-CN"/>
              </w:rPr>
              <w:t>本课程的主要任务是掌握幼儿教师开展家长工作的各种技巧和方法，包括幼儿园家访工作的方法、幼儿园的接待和约谈工作的方法、组织家长开放日、家长会、亲子活动的方法等。具有家园沟通能力以及开展幼儿园各项家长工作的能力。</w:t>
            </w:r>
          </w:p>
        </w:tc>
        <w:tc>
          <w:tcPr>
            <w:tcW w:w="81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36</w:t>
            </w: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w:t>
      </w:r>
      <w:r>
        <w:rPr>
          <w:rFonts w:hint="eastAsia" w:ascii="仿宋_GB2312" w:eastAsia="仿宋_GB2312"/>
          <w:sz w:val="32"/>
          <w:szCs w:val="24"/>
          <w:lang w:val="en-US" w:eastAsia="zh-CN"/>
        </w:rPr>
        <w:t>三</w:t>
      </w:r>
      <w:r>
        <w:rPr>
          <w:rFonts w:hint="eastAsia" w:ascii="仿宋_GB2312" w:eastAsia="仿宋_GB2312"/>
          <w:sz w:val="32"/>
          <w:szCs w:val="24"/>
          <w:lang w:eastAsia="zh-CN"/>
        </w:rPr>
        <w:t>）综合实训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综合实训是本专业必修的专业训练，包括职业见习、保育实习、教育见实习。主要任务是通过了解幼儿园及幼儿园教师工作，增强学生的专业认同感和职业意识；学习并运用幼儿卫生与健康知识，实际体验幼儿园保育工作岗位任务，熟悉保育工作流程及规范；学习、观摩幼儿园教育活动，进一步了解学习领域目标、内容及要求，模拟教育活动或进行实操训练，提高学生的职业素养与综合能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w:t>
      </w:r>
      <w:r>
        <w:rPr>
          <w:rFonts w:hint="eastAsia" w:ascii="仿宋_GB2312" w:eastAsia="仿宋_GB2312"/>
          <w:sz w:val="32"/>
          <w:szCs w:val="24"/>
          <w:lang w:val="en-US" w:eastAsia="zh-CN"/>
        </w:rPr>
        <w:t>四</w:t>
      </w:r>
      <w:r>
        <w:rPr>
          <w:rFonts w:hint="eastAsia" w:ascii="仿宋_GB2312" w:eastAsia="仿宋_GB2312"/>
          <w:sz w:val="32"/>
          <w:szCs w:val="24"/>
          <w:lang w:eastAsia="zh-CN"/>
        </w:rPr>
        <w:t>）岗位实习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顶岗实习是本专业最后的实践性教学环节。通过顶岗实习，使学生更好地将理论与实践相结合，全面巩固、锻炼实践操作技能，为就业打下坚实基础。顶岗实习的主要任务是让学生熟悉幼儿教师工作的性质和职责，进一步掌握保教工作的基本内容和特点；通过实习幼儿教师的全部工作，培养学生组织幼儿园一日活动及幼儿游戏活动的能力，学习幼儿园教师的优秀品质和敬业精神，增强适应岗位的能力。</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七、教学进程总体安排</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(一)基本要求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每学年为52周、其中教学时间40周(含复习考试计假期12周，周学时为30(含班会活动)，顶岗实习按每周30小时(1小时折合1学时)安排3年总学时数为3000~3300。课程开设顺序和周学时安排，学校可根据实际情况调整。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实行学分制，一般16-18学时为1学分，3年制总学分不得少于170。军训、社会实践、入学教育、毕业教育等活动以1周为1学分，共5学分。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公共基础课学时约占总学时的1/3,允许根据行业人才培养的实际需要在规定的范围内适当调整，但必须保证学生修完公共基础课的必修内容和学时。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专业课学时约占总学时的2/3,在确保学生实习总量的前提下，可根据实际需要集中或分阶段安排实习时间，行业企业认知实习应安排在第一学年。课程设置中应设选修课，其学时数占总学时的比例应不少于10%。</w:t>
      </w:r>
    </w:p>
    <w:p>
      <w:pPr>
        <w:keepNext w:val="0"/>
        <w:keepLines w:val="0"/>
        <w:pageBreakBefore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lang w:eastAsia="zh-CN"/>
        </w:rPr>
        <w:t>（二）教学安排建议</w:t>
      </w:r>
    </w:p>
    <w:tbl>
      <w:tblPr>
        <w:tblStyle w:val="3"/>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8"/>
        <w:gridCol w:w="480"/>
        <w:gridCol w:w="2403"/>
        <w:gridCol w:w="991"/>
        <w:gridCol w:w="945"/>
        <w:gridCol w:w="630"/>
        <w:gridCol w:w="570"/>
        <w:gridCol w:w="570"/>
        <w:gridCol w:w="525"/>
        <w:gridCol w:w="540"/>
        <w:gridCol w:w="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028" w:type="dxa"/>
            <w:gridSpan w:val="2"/>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课程</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类型</w:t>
            </w:r>
          </w:p>
        </w:tc>
        <w:tc>
          <w:tcPr>
            <w:tcW w:w="2403" w:type="dxa"/>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课程名称</w:t>
            </w:r>
          </w:p>
        </w:tc>
        <w:tc>
          <w:tcPr>
            <w:tcW w:w="991" w:type="dxa"/>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学分</w:t>
            </w:r>
          </w:p>
        </w:tc>
        <w:tc>
          <w:tcPr>
            <w:tcW w:w="945" w:type="dxa"/>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学时</w:t>
            </w:r>
          </w:p>
        </w:tc>
        <w:tc>
          <w:tcPr>
            <w:tcW w:w="3371" w:type="dxa"/>
            <w:gridSpan w:val="6"/>
            <w:tcMar>
              <w:top w:w="0" w:type="dxa"/>
              <w:left w:w="108" w:type="dxa"/>
              <w:bottom w:w="0" w:type="dxa"/>
              <w:right w:w="108" w:type="dxa"/>
            </w:tcMar>
            <w:vAlign w:val="center"/>
          </w:tcPr>
          <w:p>
            <w:pPr>
              <w:keepNext w:val="0"/>
              <w:keepLines w:val="0"/>
              <w:pageBreakBefore w:val="0"/>
              <w:widowControl/>
              <w:tabs>
                <w:tab w:val="left" w:pos="784"/>
              </w:tabs>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028" w:type="dxa"/>
            <w:gridSpan w:val="2"/>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991" w:type="dxa"/>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945" w:type="dxa"/>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公</w:t>
            </w: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共</w:t>
            </w: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基</w:t>
            </w: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础</w:t>
            </w: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课</w:t>
            </w: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中国特色社会主义</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心理健康与职业生涯</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哲学与人生</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113" w:right="113"/>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职业道德与法治</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语文</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19</w:t>
            </w:r>
            <w:r>
              <w:rPr>
                <w:rFonts w:hint="eastAsia" w:ascii="仿宋_GB2312" w:hAnsi="仿宋_GB2312" w:eastAsia="仿宋_GB2312" w:cs="仿宋_GB2312"/>
                <w:color w:val="auto"/>
                <w:kern w:val="0"/>
                <w:sz w:val="28"/>
                <w:szCs w:val="28"/>
                <w:lang w:val="en-US" w:eastAsia="zh-CN"/>
              </w:rPr>
              <w:t>8</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数学</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lang w:val="en-US" w:eastAsia="zh-CN"/>
              </w:rPr>
              <w:t>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英语</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lang w:val="en-US" w:eastAsia="zh-CN"/>
              </w:rPr>
              <w:t>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信息技术</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lang w:val="en-US" w:eastAsia="zh-CN"/>
              </w:rPr>
              <w:t>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体育与健康</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10</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lang w:val="en-US" w:eastAsia="zh-CN"/>
              </w:rPr>
              <w:t>80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艺术</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历史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4</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72</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劳动教育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5</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90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传统文化</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18</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职业素养</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18</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28" w:type="dxa"/>
            <w:gridSpan w:val="2"/>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创新创业教育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18</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431" w:type="dxa"/>
            <w:gridSpan w:val="3"/>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bCs/>
                <w:color w:val="auto"/>
                <w:kern w:val="0"/>
                <w:sz w:val="28"/>
                <w:szCs w:val="28"/>
              </w:rPr>
              <w:t>公共基础课总计</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rPr>
              <w:t>6</w:t>
            </w:r>
            <w:r>
              <w:rPr>
                <w:rFonts w:hint="eastAsia" w:ascii="仿宋_GB2312" w:hAnsi="仿宋_GB2312" w:eastAsia="仿宋_GB2312" w:cs="仿宋_GB2312"/>
                <w:b/>
                <w:bCs/>
                <w:color w:val="auto"/>
                <w:kern w:val="0"/>
                <w:sz w:val="28"/>
                <w:szCs w:val="28"/>
                <w:lang w:val="en-US" w:eastAsia="zh-CN"/>
              </w:rPr>
              <w:t>7</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rPr>
              <w:t>1</w:t>
            </w:r>
            <w:r>
              <w:rPr>
                <w:rFonts w:hint="eastAsia" w:ascii="仿宋_GB2312" w:hAnsi="仿宋_GB2312" w:eastAsia="仿宋_GB2312" w:cs="仿宋_GB2312"/>
                <w:b/>
                <w:bCs/>
                <w:color w:val="auto"/>
                <w:kern w:val="0"/>
                <w:sz w:val="28"/>
                <w:szCs w:val="28"/>
                <w:lang w:val="en-US" w:eastAsia="zh-CN"/>
              </w:rPr>
              <w:t>206</w:t>
            </w:r>
          </w:p>
        </w:tc>
        <w:tc>
          <w:tcPr>
            <w:tcW w:w="3371" w:type="dxa"/>
            <w:gridSpan w:val="6"/>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专业</w:t>
            </w: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课</w:t>
            </w: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专业课</w:t>
            </w:r>
          </w:p>
        </w:tc>
        <w:tc>
          <w:tcPr>
            <w:tcW w:w="480" w:type="dxa"/>
            <w:vMerge w:val="restart"/>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专业</w:t>
            </w:r>
            <w:r>
              <w:rPr>
                <w:rFonts w:hint="eastAsia" w:ascii="仿宋_GB2312" w:hAnsi="仿宋_GB2312" w:eastAsia="仿宋_GB2312" w:cs="仿宋_GB2312"/>
                <w:color w:val="auto"/>
                <w:kern w:val="0"/>
                <w:sz w:val="28"/>
                <w:szCs w:val="28"/>
                <w:lang w:val="en-US" w:eastAsia="zh-CN"/>
              </w:rPr>
              <w:t>基础</w:t>
            </w:r>
            <w:r>
              <w:rPr>
                <w:rFonts w:hint="eastAsia" w:ascii="仿宋_GB2312" w:hAnsi="仿宋_GB2312" w:eastAsia="仿宋_GB2312" w:cs="仿宋_GB2312"/>
                <w:color w:val="auto"/>
                <w:kern w:val="0"/>
                <w:sz w:val="28"/>
                <w:szCs w:val="28"/>
              </w:rPr>
              <w:t>课</w:t>
            </w: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学前儿童</w:t>
            </w:r>
            <w:r>
              <w:rPr>
                <w:rFonts w:hint="eastAsia" w:ascii="仿宋_GB2312" w:hAnsi="仿宋_GB2312" w:eastAsia="仿宋_GB2312" w:cs="仿宋_GB2312"/>
                <w:color w:val="auto"/>
                <w:kern w:val="0"/>
                <w:sz w:val="28"/>
                <w:szCs w:val="28"/>
              </w:rPr>
              <w:t>卫生</w:t>
            </w:r>
            <w:r>
              <w:rPr>
                <w:rFonts w:hint="eastAsia" w:ascii="仿宋_GB2312" w:hAnsi="仿宋_GB2312" w:eastAsia="仿宋_GB2312" w:cs="仿宋_GB2312"/>
                <w:color w:val="auto"/>
                <w:kern w:val="0"/>
                <w:sz w:val="28"/>
                <w:szCs w:val="28"/>
                <w:lang w:val="en-US" w:eastAsia="zh-CN"/>
              </w:rPr>
              <w:t>与保健</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6</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108</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val="en-US" w:eastAsia="zh-CN"/>
              </w:rPr>
              <w:t>学前</w:t>
            </w:r>
            <w:r>
              <w:rPr>
                <w:rFonts w:hint="eastAsia" w:ascii="仿宋_GB2312" w:hAnsi="仿宋_GB2312" w:eastAsia="仿宋_GB2312" w:cs="仿宋_GB2312"/>
                <w:color w:val="auto"/>
                <w:kern w:val="0"/>
                <w:sz w:val="28"/>
                <w:szCs w:val="28"/>
              </w:rPr>
              <w:t>心理学</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val="en-US" w:eastAsia="zh-CN"/>
              </w:rPr>
              <w:t>4</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72</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val="en-US" w:eastAsia="zh-CN"/>
              </w:rPr>
              <w:t>学前</w:t>
            </w:r>
            <w:r>
              <w:rPr>
                <w:rFonts w:hint="eastAsia" w:ascii="仿宋_GB2312" w:hAnsi="仿宋_GB2312" w:eastAsia="仿宋_GB2312" w:cs="仿宋_GB2312"/>
                <w:color w:val="auto"/>
                <w:kern w:val="0"/>
                <w:sz w:val="28"/>
                <w:szCs w:val="28"/>
              </w:rPr>
              <w:t>教育学</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val="en-US" w:eastAsia="zh-CN"/>
              </w:rPr>
              <w:t>4</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72</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幼儿教师口语</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9</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162</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right="113"/>
              <w:jc w:val="center"/>
              <w:textAlignment w:val="auto"/>
              <w:rPr>
                <w:rFonts w:hint="eastAsia" w:ascii="仿宋_GB2312" w:hAnsi="仿宋_GB2312" w:eastAsia="仿宋_GB2312" w:cs="仿宋_GB2312"/>
                <w:color w:val="auto"/>
                <w:kern w:val="0"/>
                <w:sz w:val="28"/>
                <w:szCs w:val="28"/>
              </w:rPr>
            </w:pPr>
          </w:p>
        </w:tc>
        <w:tc>
          <w:tcPr>
            <w:tcW w:w="480" w:type="dxa"/>
            <w:vMerge w:val="continue"/>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113" w:right="593"/>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幼儿教育政策与法规</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幼儿园教育活动设计与指导</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10</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180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幼儿园游戏</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4</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72</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幼儿文学阅读与指导</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restart"/>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专业核心课</w:t>
            </w: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0-3岁婴幼儿抚育与教育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54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幼儿生活照护</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幼儿健康照护</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幼儿安全照护</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0-3岁幼儿行为观察与引导</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家园社合作共育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restart"/>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专业技能课</w:t>
            </w: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乐理与视唱</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键盘</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幼儿歌曲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舞蹈</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12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216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绘画</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手工</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8</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144</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w:t>
            </w: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04"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480" w:type="dxa"/>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选修课</w:t>
            </w:r>
          </w:p>
        </w:tc>
        <w:tc>
          <w:tcPr>
            <w:tcW w:w="2403"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rPr>
              <w:t>幼儿园班级管理</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lang w:val="en-US" w:eastAsia="zh-CN" w:bidi="ar-SA"/>
              </w:rPr>
            </w:pPr>
            <w:r>
              <w:rPr>
                <w:rFonts w:hint="eastAsia" w:ascii="仿宋_GB2312" w:hAnsi="仿宋_GB2312" w:eastAsia="仿宋_GB2312" w:cs="仿宋_GB2312"/>
                <w:b/>
                <w:bCs/>
                <w:color w:val="auto"/>
                <w:kern w:val="0"/>
                <w:sz w:val="28"/>
                <w:szCs w:val="28"/>
              </w:rPr>
              <w:t>小计</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bidi="ar-SA"/>
              </w:rPr>
            </w:pPr>
            <w:r>
              <w:rPr>
                <w:rFonts w:hint="eastAsia" w:ascii="仿宋_GB2312" w:hAnsi="仿宋_GB2312" w:eastAsia="仿宋_GB2312" w:cs="仿宋_GB2312"/>
                <w:b/>
                <w:bCs/>
                <w:color w:val="auto"/>
                <w:kern w:val="0"/>
                <w:sz w:val="28"/>
                <w:szCs w:val="28"/>
                <w:lang w:val="en-US" w:eastAsia="zh-CN" w:bidi="ar-SA"/>
              </w:rPr>
              <w:t>102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bidi="ar-SA"/>
              </w:rPr>
            </w:pPr>
            <w:r>
              <w:rPr>
                <w:rFonts w:hint="eastAsia" w:ascii="仿宋_GB2312" w:hAnsi="仿宋_GB2312" w:eastAsia="仿宋_GB2312" w:cs="仿宋_GB2312"/>
                <w:b/>
                <w:bCs/>
                <w:color w:val="auto"/>
                <w:kern w:val="0"/>
                <w:sz w:val="28"/>
                <w:szCs w:val="28"/>
                <w:lang w:val="en-US" w:eastAsia="zh-CN"/>
              </w:rPr>
              <w:t>1836</w:t>
            </w:r>
          </w:p>
        </w:tc>
        <w:tc>
          <w:tcPr>
            <w:tcW w:w="3371" w:type="dxa"/>
            <w:gridSpan w:val="6"/>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restart"/>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实习实</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color w:val="auto"/>
                <w:kern w:val="0"/>
                <w:sz w:val="28"/>
                <w:szCs w:val="28"/>
              </w:rPr>
              <w:t>训</w:t>
            </w: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ind w:firstLine="210" w:firstLineChars="0"/>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见习</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b/>
                <w:bCs/>
                <w:color w:val="auto"/>
                <w:kern w:val="0"/>
                <w:sz w:val="28"/>
                <w:szCs w:val="28"/>
              </w:rPr>
              <w:t>2</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b/>
                <w:bCs/>
                <w:color w:val="auto"/>
                <w:kern w:val="0"/>
                <w:sz w:val="28"/>
                <w:szCs w:val="28"/>
                <w:lang w:val="en-US" w:eastAsia="zh-CN"/>
              </w:rPr>
              <w:t>36</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ind w:firstLine="315"/>
              <w:jc w:val="center"/>
              <w:textAlignment w:val="auto"/>
              <w:rPr>
                <w:rFonts w:hint="eastAsia" w:ascii="仿宋_GB2312" w:hAnsi="仿宋_GB2312" w:eastAsia="仿宋_GB2312" w:cs="仿宋_GB2312"/>
                <w:b/>
                <w:bCs/>
                <w:color w:val="auto"/>
                <w:kern w:val="0"/>
                <w:sz w:val="28"/>
                <w:szCs w:val="28"/>
                <w:lang w:val="en-US" w:eastAsia="zh-CN"/>
              </w:rPr>
            </w:pP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ind w:firstLine="315" w:firstLineChars="0"/>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顶岗实习</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b/>
                <w:bCs/>
                <w:color w:val="auto"/>
                <w:kern w:val="0"/>
                <w:sz w:val="28"/>
                <w:szCs w:val="28"/>
              </w:rPr>
              <w:t>30</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b/>
                <w:bCs/>
                <w:color w:val="auto"/>
                <w:kern w:val="0"/>
                <w:sz w:val="28"/>
                <w:szCs w:val="28"/>
              </w:rPr>
              <w:t>540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ind w:firstLine="315"/>
              <w:jc w:val="center"/>
              <w:textAlignment w:val="auto"/>
              <w:rPr>
                <w:rFonts w:hint="eastAsia" w:ascii="仿宋_GB2312" w:hAnsi="仿宋_GB2312" w:eastAsia="仿宋_GB2312" w:cs="仿宋_GB2312"/>
                <w:b/>
                <w:bCs/>
                <w:color w:val="auto"/>
                <w:kern w:val="0"/>
                <w:sz w:val="28"/>
                <w:szCs w:val="28"/>
                <w:lang w:val="en-US" w:eastAsia="zh-CN"/>
              </w:rPr>
            </w:pP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军训及入学教育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1周</w:t>
            </w: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ind w:firstLine="315"/>
              <w:jc w:val="center"/>
              <w:textAlignment w:val="auto"/>
              <w:rPr>
                <w:rFonts w:hint="eastAsia" w:ascii="仿宋_GB2312" w:hAnsi="仿宋_GB2312" w:eastAsia="仿宋_GB2312" w:cs="仿宋_GB2312"/>
                <w:b/>
                <w:bCs/>
                <w:color w:val="auto"/>
                <w:kern w:val="0"/>
                <w:sz w:val="28"/>
                <w:szCs w:val="28"/>
                <w:lang w:val="en-US" w:eastAsia="zh-CN"/>
              </w:rPr>
            </w:pP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毕业教育</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30</w:t>
            </w:r>
          </w:p>
        </w:tc>
        <w:tc>
          <w:tcPr>
            <w:tcW w:w="63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7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2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40"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p>
        </w:tc>
        <w:tc>
          <w:tcPr>
            <w:tcW w:w="536"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548" w:type="dxa"/>
            <w:vMerge w:val="continue"/>
            <w:tcBorders/>
            <w:vAlign w:val="center"/>
          </w:tcPr>
          <w:p>
            <w:pPr>
              <w:keepNext w:val="0"/>
              <w:keepLines w:val="0"/>
              <w:pageBreakBefore w:val="0"/>
              <w:widowControl/>
              <w:kinsoku/>
              <w:wordWrap/>
              <w:overflowPunct/>
              <w:topLinePunct w:val="0"/>
              <w:autoSpaceDE/>
              <w:autoSpaceDN/>
              <w:bidi w:val="0"/>
              <w:adjustRightInd/>
              <w:snapToGrid/>
              <w:spacing w:line="500" w:lineRule="exact"/>
              <w:ind w:firstLine="315"/>
              <w:jc w:val="center"/>
              <w:textAlignment w:val="auto"/>
              <w:rPr>
                <w:rFonts w:hint="eastAsia" w:ascii="仿宋_GB2312" w:hAnsi="仿宋_GB2312" w:eastAsia="仿宋_GB2312" w:cs="仿宋_GB2312"/>
                <w:b/>
                <w:bCs/>
                <w:color w:val="auto"/>
                <w:kern w:val="0"/>
                <w:sz w:val="28"/>
                <w:szCs w:val="28"/>
                <w:lang w:val="en-US" w:eastAsia="zh-CN"/>
              </w:rPr>
            </w:pPr>
          </w:p>
        </w:tc>
        <w:tc>
          <w:tcPr>
            <w:tcW w:w="2883" w:type="dxa"/>
            <w:gridSpan w:val="2"/>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小计</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34</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636</w:t>
            </w:r>
          </w:p>
        </w:tc>
        <w:tc>
          <w:tcPr>
            <w:tcW w:w="3371" w:type="dxa"/>
            <w:gridSpan w:val="6"/>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3431" w:type="dxa"/>
            <w:gridSpan w:val="3"/>
            <w:vAlign w:val="center"/>
          </w:tcPr>
          <w:p>
            <w:pPr>
              <w:keepNext w:val="0"/>
              <w:keepLines w:val="0"/>
              <w:pageBreakBefore w:val="0"/>
              <w:widowControl/>
              <w:kinsoku/>
              <w:wordWrap/>
              <w:overflowPunct/>
              <w:topLinePunct w:val="0"/>
              <w:autoSpaceDE/>
              <w:autoSpaceDN/>
              <w:bidi w:val="0"/>
              <w:adjustRightInd/>
              <w:snapToGrid/>
              <w:spacing w:line="500" w:lineRule="exact"/>
              <w:ind w:firstLine="315"/>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总计</w:t>
            </w:r>
          </w:p>
        </w:tc>
        <w:tc>
          <w:tcPr>
            <w:tcW w:w="991"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203</w:t>
            </w:r>
          </w:p>
        </w:tc>
        <w:tc>
          <w:tcPr>
            <w:tcW w:w="945" w:type="dxa"/>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8"/>
                <w:szCs w:val="28"/>
                <w:lang w:val="en-US" w:eastAsia="zh-CN"/>
              </w:rPr>
            </w:pPr>
            <w:r>
              <w:rPr>
                <w:rFonts w:hint="eastAsia" w:ascii="仿宋_GB2312" w:hAnsi="仿宋_GB2312" w:eastAsia="仿宋_GB2312" w:cs="仿宋_GB2312"/>
                <w:b/>
                <w:bCs/>
                <w:color w:val="auto"/>
                <w:kern w:val="0"/>
                <w:sz w:val="28"/>
                <w:szCs w:val="28"/>
                <w:lang w:val="en-US" w:eastAsia="zh-CN"/>
              </w:rPr>
              <w:t>3654</w:t>
            </w:r>
          </w:p>
        </w:tc>
        <w:tc>
          <w:tcPr>
            <w:tcW w:w="3371" w:type="dxa"/>
            <w:gridSpan w:val="6"/>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八、实施保障</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（一）师资队伍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w:t>
      </w:r>
      <w:r>
        <w:rPr>
          <w:rFonts w:hint="eastAsia" w:ascii="仿宋_GB2312" w:eastAsia="仿宋_GB2312"/>
          <w:sz w:val="32"/>
          <w:szCs w:val="24"/>
          <w:lang w:eastAsia="zh-CN"/>
        </w:rPr>
        <w:t>按照《中等职业学校设置标准》要求,本专业教职工数与学生数应为1:20,其中专任教师不低于教职工总数的85%，依此标准合理配置公共课教师和专业教师。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w:t>
      </w:r>
      <w:r>
        <w:rPr>
          <w:rFonts w:hint="eastAsia" w:ascii="仿宋_GB2312" w:eastAsia="仿宋_GB2312"/>
          <w:sz w:val="32"/>
          <w:szCs w:val="24"/>
          <w:lang w:val="en-US" w:eastAsia="zh-CN"/>
        </w:rPr>
        <w:t>.</w:t>
      </w:r>
      <w:r>
        <w:rPr>
          <w:rFonts w:hint="eastAsia" w:ascii="仿宋_GB2312" w:eastAsia="仿宋_GB2312"/>
          <w:sz w:val="32"/>
          <w:szCs w:val="24"/>
          <w:lang w:eastAsia="zh-CN"/>
        </w:rPr>
        <w:t>公共课教师应具有与任教课程对口的全日制本科及以上学历,并取得中等学校教师资格。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w:t>
      </w:r>
      <w:r>
        <w:rPr>
          <w:rFonts w:hint="eastAsia" w:ascii="仿宋_GB2312" w:eastAsia="仿宋_GB2312"/>
          <w:sz w:val="32"/>
          <w:szCs w:val="24"/>
          <w:lang w:val="en-US" w:eastAsia="zh-CN"/>
        </w:rPr>
        <w:t>.</w:t>
      </w:r>
      <w:r>
        <w:rPr>
          <w:rFonts w:hint="eastAsia" w:ascii="仿宋_GB2312" w:eastAsia="仿宋_GB2312"/>
          <w:sz w:val="32"/>
          <w:szCs w:val="24"/>
          <w:lang w:eastAsia="zh-CN"/>
        </w:rPr>
        <w:t>专业课专任教师应具有与任教专业对口的本科及以上学历,并取得中等职业学校教师资格和任教专业相应的职业资格证。专业教学团队中有一定比例的兼职教师,兼职教师应是本区域或本行业的现场专家,列入教师编制序列,比例控制在15%-30%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w:t>
      </w:r>
      <w:r>
        <w:rPr>
          <w:rFonts w:hint="eastAsia" w:ascii="仿宋_GB2312" w:eastAsia="仿宋_GB2312"/>
          <w:sz w:val="32"/>
          <w:szCs w:val="24"/>
          <w:lang w:val="en-US" w:eastAsia="zh-CN"/>
        </w:rPr>
        <w:t>.</w:t>
      </w:r>
      <w:r>
        <w:rPr>
          <w:rFonts w:hint="eastAsia" w:ascii="仿宋_GB2312" w:eastAsia="仿宋_GB2312"/>
          <w:sz w:val="32"/>
          <w:szCs w:val="24"/>
          <w:lang w:eastAsia="zh-CN"/>
        </w:rPr>
        <w:t>实习指导教师应具有与任教专业对口的专科及以上学历,并取得高级工及以上职业资格。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5</w:t>
      </w:r>
      <w:r>
        <w:rPr>
          <w:rFonts w:hint="eastAsia" w:ascii="仿宋_GB2312" w:eastAsia="仿宋_GB2312"/>
          <w:sz w:val="32"/>
          <w:szCs w:val="24"/>
          <w:lang w:val="en-US" w:eastAsia="zh-CN"/>
        </w:rPr>
        <w:t>.</w:t>
      </w:r>
      <w:r>
        <w:rPr>
          <w:rFonts w:hint="eastAsia" w:ascii="仿宋_GB2312" w:eastAsia="仿宋_GB2312"/>
          <w:sz w:val="32"/>
          <w:szCs w:val="24"/>
          <w:lang w:eastAsia="zh-CN"/>
        </w:rPr>
        <w:t>主要公共课程教师应具备公共课程教师的基本条件。专业基本能力课程授课教师应具备专业课程专任教师的基本条件,还应有任教本专业两年以上的教学经历和企业实践经历,幼儿心理学、教育学等岗位核心能力课程应有两位以上教师授课,其中一人为实习指导教师或行业专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6</w:t>
      </w:r>
      <w:r>
        <w:rPr>
          <w:rFonts w:hint="eastAsia" w:ascii="仿宋_GB2312" w:eastAsia="仿宋_GB2312"/>
          <w:sz w:val="32"/>
          <w:szCs w:val="24"/>
          <w:lang w:val="en-US" w:eastAsia="zh-CN"/>
        </w:rPr>
        <w:t>.</w:t>
      </w:r>
      <w:r>
        <w:rPr>
          <w:rFonts w:hint="eastAsia" w:ascii="仿宋_GB2312" w:eastAsia="仿宋_GB2312"/>
          <w:sz w:val="32"/>
          <w:szCs w:val="24"/>
          <w:lang w:eastAsia="zh-CN"/>
        </w:rPr>
        <w:t>专任教师每两年必须参加两个月及以上企业实践或社会实践。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7</w:t>
      </w:r>
      <w:r>
        <w:rPr>
          <w:rFonts w:hint="eastAsia" w:ascii="仿宋_GB2312" w:eastAsia="仿宋_GB2312"/>
          <w:sz w:val="32"/>
          <w:szCs w:val="24"/>
          <w:lang w:val="en-US" w:eastAsia="zh-CN"/>
        </w:rPr>
        <w:t>.</w:t>
      </w:r>
      <w:r>
        <w:rPr>
          <w:rFonts w:hint="eastAsia" w:ascii="仿宋_GB2312" w:eastAsia="仿宋_GB2312"/>
          <w:sz w:val="32"/>
          <w:szCs w:val="24"/>
          <w:lang w:eastAsia="zh-CN"/>
        </w:rPr>
        <w:t>专业课专任教师每五年必须参加一次国家级或省级培训。公共课教师应参加教育教学或新技术的培训。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8</w:t>
      </w:r>
      <w:r>
        <w:rPr>
          <w:rFonts w:hint="eastAsia" w:ascii="仿宋_GB2312" w:eastAsia="仿宋_GB2312"/>
          <w:sz w:val="32"/>
          <w:szCs w:val="24"/>
          <w:lang w:val="en-US" w:eastAsia="zh-CN"/>
        </w:rPr>
        <w:t>.</w:t>
      </w:r>
      <w:r>
        <w:rPr>
          <w:rFonts w:hint="eastAsia" w:ascii="仿宋_GB2312" w:eastAsia="仿宋_GB2312"/>
          <w:sz w:val="32"/>
          <w:szCs w:val="24"/>
          <w:lang w:eastAsia="zh-CN"/>
        </w:rPr>
        <w:t>专任教师每年必须参加一次校外教育教学研究活动。</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（二）教学设施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本专业应配备与专业办学规模相匹配的校内实训实习室和校外实训基地。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实训室规格按照省中等职业教育专业教学指导方案配置,基本满足本专业教学需要,现有教学设备设施总值达292万元。设有舞蹈室</w:t>
      </w:r>
      <w:r>
        <w:rPr>
          <w:rFonts w:hint="eastAsia" w:ascii="仿宋_GB2312" w:eastAsia="仿宋_GB2312"/>
          <w:sz w:val="32"/>
          <w:szCs w:val="24"/>
          <w:lang w:val="en-US" w:eastAsia="zh-CN"/>
        </w:rPr>
        <w:t>2</w:t>
      </w:r>
      <w:r>
        <w:rPr>
          <w:rFonts w:hint="eastAsia" w:ascii="仿宋_GB2312" w:eastAsia="仿宋_GB2312"/>
          <w:sz w:val="32"/>
          <w:szCs w:val="24"/>
          <w:lang w:eastAsia="zh-CN"/>
        </w:rPr>
        <w:t>间、美术教室</w:t>
      </w:r>
      <w:r>
        <w:rPr>
          <w:rFonts w:hint="eastAsia" w:ascii="仿宋_GB2312" w:eastAsia="仿宋_GB2312"/>
          <w:sz w:val="32"/>
          <w:szCs w:val="24"/>
          <w:lang w:val="en-US" w:eastAsia="zh-CN"/>
        </w:rPr>
        <w:t>2</w:t>
      </w:r>
      <w:r>
        <w:rPr>
          <w:rFonts w:hint="eastAsia" w:ascii="仿宋_GB2312" w:eastAsia="仿宋_GB2312"/>
          <w:sz w:val="32"/>
          <w:szCs w:val="24"/>
          <w:lang w:eastAsia="zh-CN"/>
        </w:rPr>
        <w:t>间、</w:t>
      </w:r>
      <w:r>
        <w:rPr>
          <w:rFonts w:hint="eastAsia" w:ascii="仿宋_GB2312" w:eastAsia="仿宋_GB2312"/>
          <w:sz w:val="32"/>
          <w:szCs w:val="24"/>
          <w:lang w:val="en-US" w:eastAsia="zh-CN"/>
        </w:rPr>
        <w:t>手工教室两间、</w:t>
      </w:r>
      <w:r>
        <w:rPr>
          <w:rFonts w:hint="eastAsia" w:ascii="仿宋_GB2312" w:eastAsia="仿宋_GB2312"/>
          <w:sz w:val="32"/>
          <w:szCs w:val="24"/>
          <w:lang w:eastAsia="zh-CN"/>
        </w:rPr>
        <w:t>钢琴教室</w:t>
      </w:r>
      <w:r>
        <w:rPr>
          <w:rFonts w:hint="eastAsia" w:ascii="仿宋_GB2312" w:eastAsia="仿宋_GB2312"/>
          <w:sz w:val="32"/>
          <w:szCs w:val="24"/>
          <w:lang w:val="en-US" w:eastAsia="zh-CN"/>
        </w:rPr>
        <w:t>2</w:t>
      </w:r>
      <w:r>
        <w:rPr>
          <w:rFonts w:hint="eastAsia" w:ascii="仿宋_GB2312" w:eastAsia="仿宋_GB2312"/>
          <w:sz w:val="32"/>
          <w:szCs w:val="24"/>
          <w:lang w:eastAsia="zh-CN"/>
        </w:rPr>
        <w:t>间、</w:t>
      </w:r>
      <w:r>
        <w:rPr>
          <w:rFonts w:hint="eastAsia" w:ascii="仿宋_GB2312" w:eastAsia="仿宋_GB2312"/>
          <w:sz w:val="32"/>
          <w:szCs w:val="24"/>
          <w:lang w:val="en-US" w:eastAsia="zh-CN"/>
        </w:rPr>
        <w:t>幼儿活动实训室3间</w:t>
      </w:r>
      <w:r>
        <w:rPr>
          <w:rFonts w:hint="eastAsia" w:ascii="仿宋_GB2312" w:eastAsia="仿宋_GB2312"/>
          <w:sz w:val="32"/>
          <w:szCs w:val="24"/>
          <w:lang w:eastAsia="zh-CN"/>
        </w:rPr>
        <w:t>。实训场地总面积近1500平方米。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本专业普通教室和专业实训室全部配备有多媒体教学平台。</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（三）教学资源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根据学前教育专业特点，构建以能力为本位、以职业实践为主线、以项目课程为主体，理论与实践相融合、教学内容与岗位需求相适应的课程体系。坚持课程教材立体化、实用化、现代化，坚持课程设置对接职业能力要求，将职业技能资格证考证知识与理实一体化教学相融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学校已建起了舞蹈实训室、钢琴实训室、绘画室、手工室、保育实训室、电子阅览室、图书馆，基本满足了教学需要。</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（四）教学方法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按照“教、学、做合一”的总体原则,根据课程性质,采用班级授课、分组教学、现场教学、实践训练、讨论、讲座等形式组织教学；不断改革教学方法，采用现场教学、案例教学、任务驱动教学等方法；不断创新教学手段,利用网络平台建立课程交流讨论群组；另外还可利用教学团队的Q群、班级Q群、微信群、精品课程网站等网络空间,聚集教学资源,建立交流平台,实现在线教学及实时互动。促进学生自主学习、自主探索,达到共同学习、共同提高的目的。</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（五）学习评价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w:t>
      </w:r>
      <w:r>
        <w:rPr>
          <w:rFonts w:hint="eastAsia" w:ascii="仿宋_GB2312" w:eastAsia="仿宋_GB2312"/>
          <w:sz w:val="32"/>
          <w:szCs w:val="24"/>
          <w:lang w:eastAsia="zh-CN"/>
        </w:rPr>
        <w:t>以教师评价为主,广泛吸收就业单位、合作企业、社区、家长参与对学生的评价,建立多方共同参与评价的开放式综合评价制度。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w:t>
      </w:r>
      <w:r>
        <w:rPr>
          <w:rFonts w:hint="eastAsia" w:ascii="仿宋_GB2312" w:eastAsia="仿宋_GB2312"/>
          <w:sz w:val="32"/>
          <w:szCs w:val="24"/>
          <w:lang w:val="en-US" w:eastAsia="zh-CN"/>
        </w:rPr>
        <w:t>.</w:t>
      </w:r>
      <w:r>
        <w:rPr>
          <w:rFonts w:hint="eastAsia" w:ascii="仿宋_GB2312" w:eastAsia="仿宋_GB2312"/>
          <w:sz w:val="32"/>
          <w:szCs w:val="24"/>
          <w:lang w:eastAsia="zh-CN"/>
        </w:rPr>
        <w:t>采取过程评价与结果评价相结合,单项评价与综合评价相结合,总结性评价与发展性评价相结合的多种评价方式。要把学习态度、平时作业、单项项目完成情况作为学生评价的重要组成部分。要不断改革评价方法,逐步建立以学生作品为导向的职业教育质量评价制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w:t>
      </w:r>
      <w:r>
        <w:rPr>
          <w:rFonts w:hint="eastAsia" w:ascii="仿宋_GB2312" w:eastAsia="仿宋_GB2312"/>
          <w:sz w:val="32"/>
          <w:szCs w:val="24"/>
          <w:lang w:val="en-US" w:eastAsia="zh-CN"/>
        </w:rPr>
        <w:t>.</w:t>
      </w:r>
      <w:r>
        <w:rPr>
          <w:rFonts w:hint="eastAsia" w:ascii="仿宋_GB2312" w:eastAsia="仿宋_GB2312"/>
          <w:sz w:val="32"/>
          <w:szCs w:val="24"/>
          <w:lang w:eastAsia="zh-CN"/>
        </w:rPr>
        <w:t>思想品德与职业素养。依据国家布的《中等职业学校德育大纲》、学校制定的学生日常行为规范,制定思想品德评价方案与细则;依据行业规范与岗位要求,制定职业素养评价方案与细则,把职业素养评价贯穿到教育教学全过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w:t>
      </w:r>
      <w:r>
        <w:rPr>
          <w:rFonts w:hint="eastAsia" w:ascii="仿宋_GB2312" w:eastAsia="仿宋_GB2312"/>
          <w:sz w:val="32"/>
          <w:szCs w:val="24"/>
          <w:lang w:val="en-US" w:eastAsia="zh-CN"/>
        </w:rPr>
        <w:t>.</w:t>
      </w:r>
      <w:r>
        <w:rPr>
          <w:rFonts w:hint="eastAsia" w:ascii="仿宋_GB2312" w:eastAsia="仿宋_GB2312"/>
          <w:sz w:val="32"/>
          <w:szCs w:val="24"/>
          <w:lang w:eastAsia="zh-CN"/>
        </w:rPr>
        <w:t>专业知识与技能。依据课程标准,针对学校专业教学特点,制定具体的专业知识与技能评价细则。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5</w:t>
      </w:r>
      <w:r>
        <w:rPr>
          <w:rFonts w:hint="eastAsia" w:ascii="仿宋_GB2312" w:eastAsia="仿宋_GB2312"/>
          <w:sz w:val="32"/>
          <w:szCs w:val="24"/>
          <w:lang w:val="en-US" w:eastAsia="zh-CN"/>
        </w:rPr>
        <w:t>.</w:t>
      </w:r>
      <w:r>
        <w:rPr>
          <w:rFonts w:hint="eastAsia" w:ascii="仿宋_GB2312" w:eastAsia="仿宋_GB2312"/>
          <w:sz w:val="32"/>
          <w:szCs w:val="24"/>
          <w:lang w:eastAsia="zh-CN"/>
        </w:rPr>
        <w:t>科学文化知识与人文素养。依据教育部颁布的课程教学大纲、课程标准,制定公共课教学质量评价细则。积极探索人文素质综合测试的内容和方法。</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（六）质量管理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学校建立专业教学质量评价制度,按照教育行政部门的总体要求,把就业率、对口就业率和就业质量作为评价专业教学质量的核心指标;针对专业特点,制定专业教学质量评价方案和评价细则,广泛吸收行业、企业特别是用人单位参与评价,逐步建立第三方评价专业教学质量机制，把课程评价作为专业教学质量评价的重要内容,建立健全人才方案动态调整机制,推动课程体系不断更新和完善。专业教学质量评价结果要在一定范围内公开和发布。</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九、毕业要求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w:t>
      </w:r>
      <w:r>
        <w:rPr>
          <w:rFonts w:hint="eastAsia" w:ascii="仿宋_GB2312" w:eastAsia="仿宋_GB2312"/>
          <w:sz w:val="32"/>
          <w:szCs w:val="24"/>
          <w:lang w:eastAsia="zh-CN"/>
        </w:rPr>
        <w:t>符合国家、省教育行政部门中等职业学校学生学籍管理的有关规定。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2</w:t>
      </w:r>
      <w:r>
        <w:rPr>
          <w:rFonts w:hint="eastAsia" w:ascii="仿宋_GB2312" w:eastAsia="仿宋_GB2312"/>
          <w:sz w:val="32"/>
          <w:szCs w:val="24"/>
          <w:lang w:val="en-US" w:eastAsia="zh-CN"/>
        </w:rPr>
        <w:t>.</w:t>
      </w:r>
      <w:r>
        <w:rPr>
          <w:rFonts w:hint="eastAsia" w:ascii="仿宋_GB2312" w:eastAsia="仿宋_GB2312"/>
          <w:sz w:val="32"/>
          <w:szCs w:val="24"/>
          <w:lang w:eastAsia="zh-CN"/>
        </w:rPr>
        <w:t>思想品德评价合格,身心健康。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3</w:t>
      </w:r>
      <w:r>
        <w:rPr>
          <w:rFonts w:hint="eastAsia" w:ascii="仿宋_GB2312" w:eastAsia="仿宋_GB2312"/>
          <w:sz w:val="32"/>
          <w:szCs w:val="24"/>
          <w:lang w:val="en-US" w:eastAsia="zh-CN"/>
        </w:rPr>
        <w:t>.</w:t>
      </w:r>
      <w:r>
        <w:rPr>
          <w:rFonts w:hint="eastAsia" w:ascii="仿宋_GB2312" w:eastAsia="仿宋_GB2312"/>
          <w:sz w:val="32"/>
          <w:szCs w:val="24"/>
          <w:lang w:eastAsia="zh-CN"/>
        </w:rPr>
        <w:t>修满规定的全部课程且成绩合格。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4</w:t>
      </w:r>
      <w:r>
        <w:rPr>
          <w:rFonts w:hint="eastAsia" w:ascii="仿宋_GB2312" w:eastAsia="仿宋_GB2312"/>
          <w:sz w:val="32"/>
          <w:szCs w:val="24"/>
          <w:lang w:val="en-US" w:eastAsia="zh-CN"/>
        </w:rPr>
        <w:t>.</w:t>
      </w:r>
      <w:r>
        <w:rPr>
          <w:rFonts w:hint="eastAsia" w:ascii="仿宋_GB2312" w:eastAsia="仿宋_GB2312"/>
          <w:sz w:val="32"/>
          <w:szCs w:val="24"/>
          <w:lang w:eastAsia="zh-CN"/>
        </w:rPr>
        <w:t>顶岗实习和社会实践考核合格。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5</w:t>
      </w:r>
      <w:r>
        <w:rPr>
          <w:rFonts w:hint="eastAsia" w:ascii="仿宋_GB2312" w:eastAsia="仿宋_GB2312"/>
          <w:sz w:val="32"/>
          <w:szCs w:val="24"/>
          <w:lang w:val="en-US" w:eastAsia="zh-CN"/>
        </w:rPr>
        <w:t>.</w:t>
      </w:r>
      <w:r>
        <w:rPr>
          <w:rFonts w:hint="eastAsia" w:ascii="仿宋_GB2312" w:eastAsia="仿宋_GB2312"/>
          <w:sz w:val="32"/>
          <w:szCs w:val="24"/>
          <w:lang w:eastAsia="zh-CN"/>
        </w:rPr>
        <w:t>符合学校的有关毕业要求。</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Arial"/>
          <w:color w:val="444444"/>
          <w:kern w:val="0"/>
          <w:sz w:val="32"/>
          <w:szCs w:val="32"/>
          <w:lang w:eastAsia="zh-CN"/>
        </w:rPr>
      </w:pPr>
      <w:r>
        <w:rPr>
          <w:rFonts w:hint="eastAsia" w:ascii="黑体" w:hAnsi="黑体" w:eastAsia="黑体" w:cs="Arial"/>
          <w:color w:val="444444"/>
          <w:kern w:val="0"/>
          <w:sz w:val="32"/>
          <w:szCs w:val="32"/>
          <w:lang w:eastAsia="zh-CN"/>
        </w:rPr>
        <w:t>十、附录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幼儿保育专业实施性教学计划表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sz w:val="32"/>
          <w:szCs w:val="24"/>
          <w:lang w:eastAsia="zh-CN"/>
        </w:rPr>
        <w:sectPr>
          <w:footerReference r:id="rId3" w:type="default"/>
          <w:pgSz w:w="11906" w:h="16838"/>
          <w:pgMar w:top="1440" w:right="1800" w:bottom="1440" w:left="1800" w:header="851" w:footer="992" w:gutter="0"/>
          <w:cols w:space="425" w:num="1"/>
          <w:docGrid w:type="lines" w:linePitch="312" w:charSpace="0"/>
        </w:sectPr>
      </w:pPr>
    </w:p>
    <w:tbl>
      <w:tblPr>
        <w:tblStyle w:val="3"/>
        <w:tblW w:w="10140" w:type="dxa"/>
        <w:tblInd w:w="0" w:type="dxa"/>
        <w:tblLayout w:type="fixed"/>
        <w:tblCellMar>
          <w:top w:w="0" w:type="dxa"/>
          <w:left w:w="108" w:type="dxa"/>
          <w:bottom w:w="0" w:type="dxa"/>
          <w:right w:w="108" w:type="dxa"/>
        </w:tblCellMar>
      </w:tblPr>
      <w:tblGrid>
        <w:gridCol w:w="500"/>
        <w:gridCol w:w="880"/>
        <w:gridCol w:w="2180"/>
        <w:gridCol w:w="1160"/>
        <w:gridCol w:w="1160"/>
        <w:gridCol w:w="540"/>
        <w:gridCol w:w="540"/>
        <w:gridCol w:w="520"/>
        <w:gridCol w:w="520"/>
        <w:gridCol w:w="520"/>
        <w:gridCol w:w="540"/>
        <w:gridCol w:w="1080"/>
      </w:tblGrid>
      <w:tr>
        <w:tblPrEx>
          <w:tblCellMar>
            <w:top w:w="0" w:type="dxa"/>
            <w:left w:w="108" w:type="dxa"/>
            <w:bottom w:w="0" w:type="dxa"/>
            <w:right w:w="108" w:type="dxa"/>
          </w:tblCellMar>
        </w:tblPrEx>
        <w:trPr>
          <w:trHeight w:val="270" w:hRule="atLeast"/>
        </w:trPr>
        <w:tc>
          <w:tcPr>
            <w:tcW w:w="138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课程分类</w:t>
            </w:r>
          </w:p>
        </w:tc>
        <w:tc>
          <w:tcPr>
            <w:tcW w:w="218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课程名称</w:t>
            </w:r>
          </w:p>
        </w:tc>
        <w:tc>
          <w:tcPr>
            <w:tcW w:w="1160" w:type="dxa"/>
            <w:vMerge w:val="restart"/>
            <w:tcBorders>
              <w:top w:val="single" w:color="auto" w:sz="4" w:space="0"/>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学分</w:t>
            </w:r>
          </w:p>
        </w:tc>
        <w:tc>
          <w:tcPr>
            <w:tcW w:w="116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学时</w:t>
            </w:r>
          </w:p>
        </w:tc>
        <w:tc>
          <w:tcPr>
            <w:tcW w:w="3180" w:type="dxa"/>
            <w:gridSpan w:val="6"/>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按学年、学期教学进程安排</w:t>
            </w:r>
          </w:p>
        </w:tc>
        <w:tc>
          <w:tcPr>
            <w:tcW w:w="108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考核方式</w:t>
            </w:r>
          </w:p>
        </w:tc>
      </w:tr>
      <w:tr>
        <w:tblPrEx>
          <w:tblCellMar>
            <w:top w:w="0" w:type="dxa"/>
            <w:left w:w="108" w:type="dxa"/>
            <w:bottom w:w="0" w:type="dxa"/>
            <w:right w:w="108" w:type="dxa"/>
          </w:tblCellMar>
        </w:tblPrEx>
        <w:trPr>
          <w:trHeight w:val="282" w:hRule="atLeast"/>
        </w:trPr>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080" w:type="dxa"/>
            <w:gridSpan w:val="2"/>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第一学年</w:t>
            </w:r>
          </w:p>
        </w:tc>
        <w:tc>
          <w:tcPr>
            <w:tcW w:w="1040" w:type="dxa"/>
            <w:gridSpan w:val="2"/>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第二学年</w:t>
            </w:r>
          </w:p>
        </w:tc>
        <w:tc>
          <w:tcPr>
            <w:tcW w:w="1060" w:type="dxa"/>
            <w:gridSpan w:val="2"/>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第三学年</w:t>
            </w:r>
          </w:p>
        </w:tc>
        <w:tc>
          <w:tcPr>
            <w:tcW w:w="108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70" w:hRule="atLeast"/>
        </w:trPr>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一</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二</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三</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四</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五</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六</w:t>
            </w:r>
          </w:p>
        </w:tc>
        <w:tc>
          <w:tcPr>
            <w:tcW w:w="108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70" w:hRule="atLeast"/>
        </w:trPr>
        <w:tc>
          <w:tcPr>
            <w:tcW w:w="138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18</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18</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18</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18</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18</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20</w:t>
            </w:r>
          </w:p>
        </w:tc>
        <w:tc>
          <w:tcPr>
            <w:tcW w:w="1080"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2" w:hRule="atLeast"/>
        </w:trPr>
        <w:tc>
          <w:tcPr>
            <w:tcW w:w="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公共基础课程</w:t>
            </w:r>
          </w:p>
        </w:tc>
        <w:tc>
          <w:tcPr>
            <w:tcW w:w="8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必修课程</w:t>
            </w: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top"/>
          </w:tcPr>
          <w:p>
            <w:pPr>
              <w:pStyle w:val="6"/>
              <w:spacing w:line="240" w:lineRule="auto"/>
              <w:ind w:left="0" w:leftChars="0"/>
              <w:jc w:val="left"/>
              <w:rPr>
                <w:rFonts w:hint="eastAsia" w:ascii="仿宋_GB2312" w:hAnsi="仿宋_GB2312" w:eastAsia="仿宋_GB2312" w:cs="仿宋_GB2312"/>
                <w:color w:val="auto"/>
                <w:kern w:val="0"/>
                <w:sz w:val="22"/>
                <w:szCs w:val="22"/>
                <w:lang w:val="en-US" w:eastAsia="en-US" w:bidi="ar-SA"/>
              </w:rPr>
            </w:pPr>
            <w:r>
              <w:rPr>
                <w:rFonts w:hint="eastAsia" w:ascii="仿宋_GB2312" w:hAnsi="仿宋_GB2312" w:eastAsia="仿宋_GB2312" w:cs="仿宋_GB2312"/>
                <w:color w:val="auto"/>
                <w:kern w:val="0"/>
                <w:sz w:val="22"/>
                <w:szCs w:val="22"/>
                <w:lang w:val="en-US" w:eastAsia="zh-CN" w:bidi="ar-SA"/>
              </w:rPr>
              <w:t>中国特色社会主义</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top"/>
          </w:tcPr>
          <w:p>
            <w:pPr>
              <w:pStyle w:val="6"/>
              <w:spacing w:line="240" w:lineRule="auto"/>
              <w:ind w:left="0" w:leftChars="0"/>
              <w:jc w:val="left"/>
              <w:rPr>
                <w:rFonts w:hint="eastAsia" w:ascii="仿宋_GB2312" w:hAnsi="仿宋_GB2312" w:eastAsia="仿宋_GB2312" w:cs="仿宋_GB2312"/>
                <w:color w:val="auto"/>
                <w:kern w:val="0"/>
                <w:sz w:val="22"/>
                <w:szCs w:val="22"/>
                <w:lang w:val="en-US" w:eastAsia="en-US" w:bidi="ar-SA"/>
              </w:rPr>
            </w:pPr>
            <w:r>
              <w:rPr>
                <w:rFonts w:hint="eastAsia" w:ascii="仿宋_GB2312" w:hAnsi="仿宋_GB2312" w:eastAsia="仿宋_GB2312" w:cs="仿宋_GB2312"/>
                <w:color w:val="auto"/>
                <w:kern w:val="0"/>
                <w:sz w:val="22"/>
                <w:szCs w:val="22"/>
                <w:lang w:val="en-US" w:eastAsia="zh-CN" w:bidi="ar-SA"/>
              </w:rPr>
              <w:t>心理健康与职业生涯</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top"/>
          </w:tcPr>
          <w:p>
            <w:pPr>
              <w:pStyle w:val="6"/>
              <w:spacing w:line="240" w:lineRule="auto"/>
              <w:ind w:left="0" w:leftChars="0"/>
              <w:jc w:val="left"/>
              <w:rPr>
                <w:rFonts w:hint="eastAsia" w:ascii="仿宋_GB2312" w:hAnsi="仿宋_GB2312" w:eastAsia="仿宋_GB2312" w:cs="仿宋_GB2312"/>
                <w:color w:val="auto"/>
                <w:kern w:val="0"/>
                <w:sz w:val="22"/>
                <w:szCs w:val="22"/>
                <w:lang w:val="en-US" w:eastAsia="en-US" w:bidi="ar-SA"/>
              </w:rPr>
            </w:pPr>
            <w:r>
              <w:rPr>
                <w:rFonts w:hint="eastAsia" w:ascii="仿宋_GB2312" w:hAnsi="仿宋_GB2312" w:eastAsia="仿宋_GB2312" w:cs="仿宋_GB2312"/>
                <w:color w:val="auto"/>
                <w:kern w:val="0"/>
                <w:sz w:val="22"/>
                <w:szCs w:val="22"/>
                <w:lang w:val="en-US" w:eastAsia="zh-CN" w:bidi="ar-SA"/>
              </w:rPr>
              <w:t>哲学与人生</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top"/>
          </w:tcPr>
          <w:p>
            <w:pPr>
              <w:pStyle w:val="6"/>
              <w:spacing w:line="240" w:lineRule="auto"/>
              <w:ind w:left="0" w:leftChars="0"/>
              <w:jc w:val="left"/>
              <w:rPr>
                <w:rFonts w:hint="eastAsia" w:ascii="仿宋_GB2312" w:hAnsi="仿宋_GB2312" w:eastAsia="仿宋_GB2312" w:cs="仿宋_GB2312"/>
                <w:color w:val="auto"/>
                <w:kern w:val="0"/>
                <w:sz w:val="22"/>
                <w:szCs w:val="22"/>
                <w:lang w:val="en-US" w:eastAsia="en-US" w:bidi="ar-SA"/>
              </w:rPr>
            </w:pPr>
            <w:r>
              <w:rPr>
                <w:rFonts w:hint="eastAsia" w:ascii="仿宋_GB2312" w:hAnsi="仿宋_GB2312" w:eastAsia="仿宋_GB2312" w:cs="仿宋_GB2312"/>
                <w:color w:val="auto"/>
                <w:kern w:val="0"/>
                <w:sz w:val="22"/>
                <w:szCs w:val="22"/>
                <w:lang w:val="en-US" w:eastAsia="zh-CN" w:bidi="ar-SA"/>
              </w:rPr>
              <w:t>职业道德与法治</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历史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4</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72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eastAsia="zh-CN"/>
              </w:rPr>
            </w:pPr>
            <w:r>
              <w:rPr>
                <w:rFonts w:hint="eastAsia" w:ascii="仿宋_GB2312" w:hAnsi="仿宋_GB2312" w:eastAsia="仿宋_GB2312" w:cs="仿宋_GB2312"/>
                <w:color w:val="auto"/>
                <w:kern w:val="0"/>
                <w:sz w:val="22"/>
                <w:szCs w:val="22"/>
                <w:lang w:val="en-US" w:eastAsia="zh-CN"/>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eastAsia="zh-CN"/>
              </w:rPr>
            </w:pPr>
            <w:r>
              <w:rPr>
                <w:rFonts w:hint="eastAsia" w:ascii="仿宋_GB2312" w:hAnsi="仿宋_GB2312" w:eastAsia="仿宋_GB2312" w:cs="仿宋_GB2312"/>
                <w:color w:val="auto"/>
                <w:kern w:val="0"/>
                <w:sz w:val="22"/>
                <w:szCs w:val="22"/>
                <w:lang w:val="en-US" w:eastAsia="zh-CN"/>
              </w:rPr>
              <w:t>1</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体育与健康</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10</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rPr>
              <w:t>1</w:t>
            </w:r>
            <w:r>
              <w:rPr>
                <w:rFonts w:hint="eastAsia" w:ascii="仿宋_GB2312" w:hAnsi="仿宋_GB2312" w:eastAsia="仿宋_GB2312" w:cs="仿宋_GB2312"/>
                <w:color w:val="auto"/>
                <w:kern w:val="0"/>
                <w:sz w:val="22"/>
                <w:szCs w:val="22"/>
                <w:lang w:val="en-US" w:eastAsia="zh-CN"/>
              </w:rPr>
              <w:t>80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艺术</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eastAsia="zh-CN"/>
              </w:rPr>
            </w:pPr>
            <w:r>
              <w:rPr>
                <w:rFonts w:hint="eastAsia" w:ascii="仿宋_GB2312" w:hAnsi="仿宋_GB2312" w:eastAsia="仿宋_GB2312" w:cs="仿宋_GB2312"/>
                <w:color w:val="auto"/>
                <w:kern w:val="0"/>
                <w:sz w:val="22"/>
                <w:szCs w:val="22"/>
                <w:lang w:val="en-US" w:eastAsia="zh-CN"/>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信息技术</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语文</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11</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198</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eastAsia="zh-CN"/>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eastAsia="zh-CN"/>
              </w:rPr>
            </w:pPr>
            <w:r>
              <w:rPr>
                <w:rFonts w:hint="eastAsia" w:ascii="仿宋_GB2312" w:hAnsi="仿宋_GB2312" w:eastAsia="仿宋_GB2312" w:cs="仿宋_GB2312"/>
                <w:color w:val="auto"/>
                <w:kern w:val="0"/>
                <w:sz w:val="22"/>
                <w:szCs w:val="22"/>
                <w:lang w:val="en-US" w:eastAsia="zh-CN"/>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数学</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英语</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144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劳动教育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5</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90</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考查　</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选修课程</w:t>
            </w: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传统文化</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18</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职业素养</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18</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创新创业教育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18</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rPr>
            </w:pPr>
            <w:r>
              <w:rPr>
                <w:rFonts w:hint="eastAsia" w:ascii="仿宋_GB2312" w:hAnsi="仿宋_GB2312" w:eastAsia="仿宋_GB2312" w:cs="仿宋_GB2312"/>
                <w:b/>
                <w:bCs/>
                <w:color w:val="auto"/>
                <w:kern w:val="0"/>
                <w:sz w:val="22"/>
                <w:szCs w:val="22"/>
              </w:rPr>
              <w:t>合计</w:t>
            </w:r>
          </w:p>
        </w:tc>
        <w:tc>
          <w:tcPr>
            <w:tcW w:w="116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67</w:t>
            </w:r>
          </w:p>
        </w:tc>
        <w:tc>
          <w:tcPr>
            <w:tcW w:w="116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1206</w:t>
            </w:r>
          </w:p>
        </w:tc>
        <w:tc>
          <w:tcPr>
            <w:tcW w:w="4260" w:type="dxa"/>
            <w:gridSpan w:val="7"/>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690" w:hRule="atLeast"/>
        </w:trPr>
        <w:tc>
          <w:tcPr>
            <w:tcW w:w="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专业课程</w:t>
            </w:r>
          </w:p>
        </w:tc>
        <w:tc>
          <w:tcPr>
            <w:tcW w:w="880"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专业</w:t>
            </w:r>
            <w:r>
              <w:rPr>
                <w:rFonts w:hint="eastAsia" w:ascii="仿宋_GB2312" w:hAnsi="仿宋_GB2312" w:eastAsia="仿宋_GB2312" w:cs="仿宋_GB2312"/>
                <w:color w:val="auto"/>
                <w:kern w:val="0"/>
                <w:sz w:val="22"/>
                <w:szCs w:val="22"/>
                <w:lang w:val="en-US" w:eastAsia="zh-CN"/>
              </w:rPr>
              <w:t>基础</w:t>
            </w:r>
            <w:r>
              <w:rPr>
                <w:rFonts w:hint="eastAsia" w:ascii="仿宋_GB2312" w:hAnsi="仿宋_GB2312" w:eastAsia="仿宋_GB2312" w:cs="仿宋_GB2312"/>
                <w:color w:val="auto"/>
                <w:kern w:val="0"/>
                <w:sz w:val="22"/>
                <w:szCs w:val="22"/>
              </w:rPr>
              <w:t>课程</w:t>
            </w: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学前儿童</w:t>
            </w:r>
            <w:r>
              <w:rPr>
                <w:rFonts w:hint="eastAsia" w:ascii="仿宋_GB2312" w:hAnsi="仿宋_GB2312" w:eastAsia="仿宋_GB2312" w:cs="仿宋_GB2312"/>
                <w:color w:val="auto"/>
                <w:kern w:val="0"/>
                <w:sz w:val="22"/>
                <w:szCs w:val="22"/>
              </w:rPr>
              <w:t>卫生</w:t>
            </w:r>
            <w:r>
              <w:rPr>
                <w:rFonts w:hint="eastAsia" w:ascii="仿宋_GB2312" w:hAnsi="仿宋_GB2312" w:eastAsia="仿宋_GB2312" w:cs="仿宋_GB2312"/>
                <w:color w:val="auto"/>
                <w:kern w:val="0"/>
                <w:sz w:val="22"/>
                <w:szCs w:val="22"/>
                <w:lang w:val="en-US" w:eastAsia="zh-CN"/>
              </w:rPr>
              <w:t>与保健</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6</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108</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bidi="ar-SA"/>
              </w:rPr>
              <w:t>3</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614" w:hRule="atLeast"/>
        </w:trPr>
        <w:tc>
          <w:tcPr>
            <w:tcW w:w="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学前</w:t>
            </w:r>
            <w:r>
              <w:rPr>
                <w:rFonts w:hint="eastAsia" w:ascii="仿宋_GB2312" w:hAnsi="仿宋_GB2312" w:eastAsia="仿宋_GB2312" w:cs="仿宋_GB2312"/>
                <w:color w:val="auto"/>
                <w:kern w:val="0"/>
                <w:sz w:val="22"/>
                <w:szCs w:val="22"/>
              </w:rPr>
              <w:t>心理学</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4</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72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467"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学前</w:t>
            </w:r>
            <w:r>
              <w:rPr>
                <w:rFonts w:hint="eastAsia" w:ascii="仿宋_GB2312" w:hAnsi="仿宋_GB2312" w:eastAsia="仿宋_GB2312" w:cs="仿宋_GB2312"/>
                <w:color w:val="auto"/>
                <w:kern w:val="0"/>
                <w:sz w:val="22"/>
                <w:szCs w:val="22"/>
              </w:rPr>
              <w:t>教育学</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4</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72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860"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幼儿教育政策与法规</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幼儿教师口语</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9</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162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幼儿园教育活动设计与指导</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bidi="ar-SA"/>
              </w:rPr>
              <w:t>10</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bidi="ar-SA"/>
              </w:rPr>
              <w:t>180</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幼儿文学阅读与指导</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幼儿园游戏</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4</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72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4</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合计</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41</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738</w:t>
            </w:r>
          </w:p>
        </w:tc>
        <w:tc>
          <w:tcPr>
            <w:tcW w:w="4260" w:type="dxa"/>
            <w:gridSpan w:val="7"/>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专业</w:t>
            </w:r>
            <w:r>
              <w:rPr>
                <w:rFonts w:hint="eastAsia" w:ascii="仿宋_GB2312" w:hAnsi="仿宋_GB2312" w:eastAsia="仿宋_GB2312" w:cs="仿宋_GB2312"/>
                <w:color w:val="auto"/>
                <w:kern w:val="0"/>
                <w:sz w:val="22"/>
                <w:szCs w:val="22"/>
                <w:lang w:val="en-US" w:eastAsia="zh-CN"/>
              </w:rPr>
              <w:t>核心</w:t>
            </w:r>
            <w:r>
              <w:rPr>
                <w:rFonts w:hint="eastAsia" w:ascii="仿宋_GB2312" w:hAnsi="仿宋_GB2312" w:eastAsia="仿宋_GB2312" w:cs="仿宋_GB2312"/>
                <w:color w:val="auto"/>
                <w:kern w:val="0"/>
                <w:sz w:val="22"/>
                <w:szCs w:val="22"/>
              </w:rPr>
              <w:t>课程</w:t>
            </w: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0-3岁婴幼儿抚育与教育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54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幼儿生活照护</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幼儿健康照护</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幼儿安全照护</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0-3岁幼儿行为观察与引导</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家园社合作共育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合计</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13</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234</w:t>
            </w:r>
          </w:p>
        </w:tc>
        <w:tc>
          <w:tcPr>
            <w:tcW w:w="4260" w:type="dxa"/>
            <w:gridSpan w:val="7"/>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专业技能课程</w:t>
            </w: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键盘</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w:t>
            </w:r>
            <w:r>
              <w:rPr>
                <w:rFonts w:hint="eastAsia" w:ascii="仿宋_GB2312" w:hAnsi="仿宋_GB2312" w:eastAsia="仿宋_GB2312" w:cs="仿宋_GB2312"/>
                <w:color w:val="auto"/>
                <w:kern w:val="0"/>
                <w:sz w:val="22"/>
                <w:szCs w:val="22"/>
                <w:lang w:val="en-US" w:eastAsia="zh-CN"/>
              </w:rPr>
              <w:t>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幼儿歌曲</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w:t>
            </w:r>
            <w:r>
              <w:rPr>
                <w:rFonts w:hint="eastAsia" w:ascii="仿宋_GB2312" w:hAnsi="仿宋_GB2312" w:eastAsia="仿宋_GB2312" w:cs="仿宋_GB2312"/>
                <w:color w:val="auto"/>
                <w:kern w:val="0"/>
                <w:sz w:val="22"/>
                <w:szCs w:val="22"/>
                <w:lang w:val="en-US" w:eastAsia="zh-CN"/>
              </w:rPr>
              <w:t>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舞蹈</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216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eastAsia="zh-CN"/>
              </w:rPr>
              <w:t>3</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eastAsia="zh-CN"/>
              </w:rPr>
              <w:t>3</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eastAsia="zh-CN"/>
              </w:rPr>
              <w:t>3</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eastAsia="zh-CN"/>
              </w:rPr>
              <w:t>3</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绘画</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w:t>
            </w:r>
            <w:r>
              <w:rPr>
                <w:rFonts w:hint="eastAsia" w:ascii="仿宋_GB2312" w:hAnsi="仿宋_GB2312" w:eastAsia="仿宋_GB2312" w:cs="仿宋_GB2312"/>
                <w:color w:val="auto"/>
                <w:kern w:val="0"/>
                <w:sz w:val="22"/>
                <w:szCs w:val="22"/>
                <w:lang w:val="en-US" w:eastAsia="zh-CN"/>
              </w:rPr>
              <w:t>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乐理与试唱</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36</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　</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手工</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8</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w:t>
            </w:r>
            <w:r>
              <w:rPr>
                <w:rFonts w:hint="eastAsia" w:ascii="仿宋_GB2312" w:hAnsi="仿宋_GB2312" w:eastAsia="仿宋_GB2312" w:cs="仿宋_GB2312"/>
                <w:color w:val="auto"/>
                <w:kern w:val="0"/>
                <w:sz w:val="22"/>
                <w:szCs w:val="22"/>
                <w:lang w:val="en-US" w:eastAsia="zh-CN"/>
              </w:rPr>
              <w:t>44</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2</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合计</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46</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828</w:t>
            </w:r>
          </w:p>
        </w:tc>
        <w:tc>
          <w:tcPr>
            <w:tcW w:w="4260" w:type="dxa"/>
            <w:gridSpan w:val="7"/>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85"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8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专业</w:t>
            </w:r>
            <w:r>
              <w:rPr>
                <w:rFonts w:hint="eastAsia" w:ascii="仿宋_GB2312" w:hAnsi="仿宋_GB2312" w:eastAsia="仿宋_GB2312" w:cs="仿宋_GB2312"/>
                <w:color w:val="auto"/>
                <w:kern w:val="0"/>
                <w:sz w:val="22"/>
                <w:szCs w:val="22"/>
                <w:lang w:val="en-US" w:eastAsia="zh-CN"/>
              </w:rPr>
              <w:t>限选</w:t>
            </w:r>
            <w:r>
              <w:rPr>
                <w:rFonts w:hint="eastAsia" w:ascii="仿宋_GB2312" w:hAnsi="仿宋_GB2312" w:eastAsia="仿宋_GB2312" w:cs="仿宋_GB2312"/>
                <w:color w:val="auto"/>
                <w:kern w:val="0"/>
                <w:sz w:val="22"/>
                <w:szCs w:val="22"/>
              </w:rPr>
              <w:t>课程</w:t>
            </w: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幼儿园班级管理</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36</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p>
        </w:tc>
        <w:tc>
          <w:tcPr>
            <w:tcW w:w="52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color w:val="auto"/>
                <w:kern w:val="0"/>
                <w:sz w:val="22"/>
                <w:szCs w:val="22"/>
              </w:rPr>
              <w:t>考试</w:t>
            </w:r>
          </w:p>
        </w:tc>
      </w:tr>
      <w:tr>
        <w:tblPrEx>
          <w:tblCellMar>
            <w:top w:w="0" w:type="dxa"/>
            <w:left w:w="108" w:type="dxa"/>
            <w:bottom w:w="0" w:type="dxa"/>
            <w:right w:w="108" w:type="dxa"/>
          </w:tblCellMar>
        </w:tblPrEx>
        <w:trPr>
          <w:trHeight w:val="282"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30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rPr>
            </w:pPr>
            <w:r>
              <w:rPr>
                <w:rFonts w:hint="eastAsia" w:ascii="仿宋_GB2312" w:hAnsi="仿宋_GB2312" w:eastAsia="仿宋_GB2312" w:cs="仿宋_GB2312"/>
                <w:b/>
                <w:bCs/>
                <w:color w:val="auto"/>
                <w:kern w:val="0"/>
                <w:sz w:val="22"/>
                <w:szCs w:val="22"/>
              </w:rPr>
              <w:t>合计</w:t>
            </w:r>
          </w:p>
        </w:tc>
        <w:tc>
          <w:tcPr>
            <w:tcW w:w="116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102</w:t>
            </w:r>
          </w:p>
        </w:tc>
        <w:tc>
          <w:tcPr>
            <w:tcW w:w="116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1836</w:t>
            </w:r>
          </w:p>
        </w:tc>
        <w:tc>
          <w:tcPr>
            <w:tcW w:w="4260" w:type="dxa"/>
            <w:gridSpan w:val="7"/>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bCs/>
                <w:color w:val="auto"/>
                <w:kern w:val="0"/>
                <w:sz w:val="22"/>
                <w:szCs w:val="22"/>
              </w:rPr>
            </w:pPr>
          </w:p>
        </w:tc>
      </w:tr>
      <w:tr>
        <w:tblPrEx>
          <w:tblCellMar>
            <w:top w:w="0" w:type="dxa"/>
            <w:left w:w="108" w:type="dxa"/>
            <w:bottom w:w="0" w:type="dxa"/>
            <w:right w:w="108" w:type="dxa"/>
          </w:tblCellMar>
        </w:tblPrEx>
        <w:trPr>
          <w:trHeight w:val="270" w:hRule="atLeast"/>
        </w:trPr>
        <w:tc>
          <w:tcPr>
            <w:tcW w:w="1380" w:type="dxa"/>
            <w:gridSpan w:val="2"/>
            <w:vMerge w:val="restart"/>
            <w:tcBorders>
              <w:top w:val="single" w:color="auto" w:sz="4" w:space="0"/>
              <w:left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rPr>
            </w:pPr>
            <w:r>
              <w:rPr>
                <w:rFonts w:hint="eastAsia" w:ascii="仿宋_GB2312" w:hAnsi="仿宋_GB2312" w:eastAsia="仿宋_GB2312" w:cs="仿宋_GB2312"/>
                <w:color w:val="auto"/>
                <w:kern w:val="0"/>
                <w:sz w:val="22"/>
                <w:szCs w:val="22"/>
                <w:lang w:val="en-US" w:eastAsia="zh-CN"/>
              </w:rPr>
              <w:t>实习实训</w:t>
            </w:r>
          </w:p>
        </w:tc>
        <w:tc>
          <w:tcPr>
            <w:tcW w:w="21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见习</w:t>
            </w:r>
          </w:p>
        </w:tc>
        <w:tc>
          <w:tcPr>
            <w:tcW w:w="1160" w:type="dxa"/>
            <w:tcBorders>
              <w:top w:val="single" w:color="auto" w:sz="4" w:space="0"/>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p>
        </w:tc>
        <w:tc>
          <w:tcPr>
            <w:tcW w:w="1160" w:type="dxa"/>
            <w:tcBorders>
              <w:top w:val="single" w:color="auto" w:sz="4" w:space="0"/>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3</w:t>
            </w:r>
            <w:r>
              <w:rPr>
                <w:rFonts w:hint="eastAsia" w:ascii="仿宋_GB2312" w:hAnsi="仿宋_GB2312" w:eastAsia="仿宋_GB2312" w:cs="仿宋_GB2312"/>
                <w:color w:val="auto"/>
                <w:kern w:val="0"/>
                <w:sz w:val="22"/>
                <w:szCs w:val="22"/>
                <w:lang w:val="en-US" w:eastAsia="zh-CN"/>
              </w:rPr>
              <w:t>6</w:t>
            </w:r>
          </w:p>
        </w:tc>
        <w:tc>
          <w:tcPr>
            <w:tcW w:w="54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p>
        </w:tc>
        <w:tc>
          <w:tcPr>
            <w:tcW w:w="54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2</w:t>
            </w:r>
            <w:r>
              <w:rPr>
                <w:rFonts w:hint="eastAsia" w:ascii="仿宋_GB2312" w:hAnsi="仿宋_GB2312" w:eastAsia="仿宋_GB2312" w:cs="仿宋_GB2312"/>
                <w:color w:val="auto"/>
                <w:kern w:val="0"/>
                <w:sz w:val="22"/>
                <w:szCs w:val="22"/>
              </w:rPr>
              <w:t>　</w:t>
            </w:r>
          </w:p>
        </w:tc>
        <w:tc>
          <w:tcPr>
            <w:tcW w:w="540" w:type="dxa"/>
            <w:tcBorders>
              <w:top w:val="single" w:color="auto" w:sz="4" w:space="0"/>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1380" w:type="dxa"/>
            <w:gridSpan w:val="2"/>
            <w:vMerge w:val="continue"/>
            <w:tcBorders>
              <w:left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nil"/>
              <w:left w:val="single" w:color="auto" w:sz="4" w:space="0"/>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顶岗实习</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30</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540</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30</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1380" w:type="dxa"/>
            <w:gridSpan w:val="2"/>
            <w:vMerge w:val="continue"/>
            <w:tcBorders>
              <w:left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nil"/>
              <w:left w:val="single" w:color="auto" w:sz="4" w:space="0"/>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军训及入学教育</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30</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1周</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1380" w:type="dxa"/>
            <w:gridSpan w:val="2"/>
            <w:vMerge w:val="continue"/>
            <w:tcBorders>
              <w:left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nil"/>
              <w:left w:val="single" w:color="auto" w:sz="4" w:space="0"/>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毕业教育</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p>
        </w:tc>
        <w:tc>
          <w:tcPr>
            <w:tcW w:w="1160" w:type="dxa"/>
            <w:tcBorders>
              <w:top w:val="nil"/>
              <w:left w:val="nil"/>
              <w:bottom w:val="single" w:color="auto" w:sz="4" w:space="0"/>
              <w:right w:val="single" w:color="auto" w:sz="4" w:space="0"/>
            </w:tcBorders>
            <w:shd w:val="clear" w:color="000000" w:fill="FFFFFF"/>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3</w:t>
            </w:r>
            <w:r>
              <w:rPr>
                <w:rFonts w:hint="eastAsia" w:ascii="仿宋_GB2312" w:hAnsi="仿宋_GB2312" w:eastAsia="仿宋_GB2312" w:cs="仿宋_GB2312"/>
                <w:color w:val="auto"/>
                <w:kern w:val="0"/>
                <w:sz w:val="22"/>
                <w:szCs w:val="22"/>
              </w:rPr>
              <w:t>0</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lang w:val="en-US" w:eastAsia="zh-CN"/>
              </w:rPr>
              <w:t>1</w:t>
            </w:r>
            <w:r>
              <w:rPr>
                <w:rFonts w:hint="eastAsia" w:ascii="仿宋_GB2312" w:hAnsi="仿宋_GB2312" w:eastAsia="仿宋_GB2312" w:cs="仿宋_GB2312"/>
                <w:color w:val="auto"/>
                <w:kern w:val="0"/>
                <w:sz w:val="22"/>
                <w:szCs w:val="22"/>
              </w:rPr>
              <w:t>周</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考查</w:t>
            </w:r>
          </w:p>
        </w:tc>
      </w:tr>
      <w:tr>
        <w:tblPrEx>
          <w:tblCellMar>
            <w:top w:w="0" w:type="dxa"/>
            <w:left w:w="108" w:type="dxa"/>
            <w:bottom w:w="0" w:type="dxa"/>
            <w:right w:w="108" w:type="dxa"/>
          </w:tblCellMar>
        </w:tblPrEx>
        <w:trPr>
          <w:trHeight w:val="270" w:hRule="atLeast"/>
        </w:trPr>
        <w:tc>
          <w:tcPr>
            <w:tcW w:w="1380" w:type="dxa"/>
            <w:gridSpan w:val="2"/>
            <w:vMerge w:val="continue"/>
            <w:tcBorders>
              <w:left w:val="single" w:color="auto" w:sz="4" w:space="0"/>
              <w:bottom w:val="single" w:color="000000" w:sz="4" w:space="0"/>
              <w:right w:val="nil"/>
            </w:tcBorders>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c>
          <w:tcPr>
            <w:tcW w:w="2180"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lang w:val="en-US" w:eastAsia="zh-CN" w:bidi="ar-SA"/>
              </w:rPr>
            </w:pPr>
            <w:r>
              <w:rPr>
                <w:rFonts w:hint="eastAsia" w:ascii="仿宋_GB2312" w:hAnsi="仿宋_GB2312" w:eastAsia="仿宋_GB2312" w:cs="仿宋_GB2312"/>
                <w:b/>
                <w:bCs/>
                <w:color w:val="auto"/>
                <w:kern w:val="0"/>
                <w:sz w:val="22"/>
                <w:szCs w:val="22"/>
              </w:rPr>
              <w:t>合计</w:t>
            </w:r>
          </w:p>
        </w:tc>
        <w:tc>
          <w:tcPr>
            <w:tcW w:w="1160"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lang w:val="en-US" w:eastAsia="zh-CN" w:bidi="ar-SA"/>
              </w:rPr>
            </w:pPr>
            <w:r>
              <w:rPr>
                <w:rFonts w:hint="eastAsia" w:ascii="仿宋_GB2312" w:hAnsi="仿宋_GB2312" w:eastAsia="仿宋_GB2312" w:cs="仿宋_GB2312"/>
                <w:b/>
                <w:bCs/>
                <w:color w:val="auto"/>
                <w:kern w:val="0"/>
                <w:sz w:val="22"/>
                <w:szCs w:val="22"/>
                <w:lang w:val="en-US" w:eastAsia="zh-CN"/>
              </w:rPr>
              <w:t>34</w:t>
            </w:r>
          </w:p>
        </w:tc>
        <w:tc>
          <w:tcPr>
            <w:tcW w:w="1160"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lang w:val="en-US" w:eastAsia="zh-CN" w:bidi="ar-SA"/>
              </w:rPr>
            </w:pPr>
            <w:r>
              <w:rPr>
                <w:rFonts w:hint="eastAsia" w:ascii="仿宋_GB2312" w:hAnsi="仿宋_GB2312" w:eastAsia="仿宋_GB2312" w:cs="仿宋_GB2312"/>
                <w:b/>
                <w:bCs/>
                <w:color w:val="auto"/>
                <w:kern w:val="0"/>
                <w:sz w:val="22"/>
                <w:szCs w:val="22"/>
                <w:lang w:val="en-US" w:eastAsia="zh-CN"/>
              </w:rPr>
              <w:t>636</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color w:val="auto"/>
                <w:kern w:val="0"/>
                <w:sz w:val="22"/>
                <w:szCs w:val="22"/>
              </w:rPr>
              <w:t>　</w:t>
            </w:r>
          </w:p>
        </w:tc>
      </w:tr>
      <w:tr>
        <w:tblPrEx>
          <w:tblCellMar>
            <w:top w:w="0" w:type="dxa"/>
            <w:left w:w="108" w:type="dxa"/>
            <w:bottom w:w="0" w:type="dxa"/>
            <w:right w:w="108" w:type="dxa"/>
          </w:tblCellMar>
        </w:tblPrEx>
        <w:trPr>
          <w:trHeight w:val="270" w:hRule="atLeast"/>
        </w:trPr>
        <w:tc>
          <w:tcPr>
            <w:tcW w:w="356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rPr>
            </w:pPr>
            <w:r>
              <w:rPr>
                <w:rFonts w:hint="eastAsia" w:ascii="仿宋_GB2312" w:hAnsi="仿宋_GB2312" w:eastAsia="仿宋_GB2312" w:cs="仿宋_GB2312"/>
                <w:b/>
                <w:bCs/>
                <w:color w:val="auto"/>
                <w:kern w:val="0"/>
                <w:sz w:val="22"/>
                <w:szCs w:val="22"/>
              </w:rPr>
              <w:t>总计</w:t>
            </w:r>
          </w:p>
        </w:tc>
        <w:tc>
          <w:tcPr>
            <w:tcW w:w="1160"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203</w:t>
            </w:r>
          </w:p>
        </w:tc>
        <w:tc>
          <w:tcPr>
            <w:tcW w:w="1160"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3654</w:t>
            </w:r>
          </w:p>
        </w:tc>
        <w:tc>
          <w:tcPr>
            <w:tcW w:w="4260" w:type="dxa"/>
            <w:gridSpan w:val="7"/>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kern w:val="0"/>
                <w:sz w:val="22"/>
                <w:szCs w:val="22"/>
              </w:rPr>
            </w:pPr>
          </w:p>
        </w:tc>
      </w:tr>
      <w:tr>
        <w:tblPrEx>
          <w:tblCellMar>
            <w:top w:w="0" w:type="dxa"/>
            <w:left w:w="108" w:type="dxa"/>
            <w:bottom w:w="0" w:type="dxa"/>
            <w:right w:w="108" w:type="dxa"/>
          </w:tblCellMar>
        </w:tblPrEx>
        <w:trPr>
          <w:trHeight w:val="270" w:hRule="atLeast"/>
        </w:trPr>
        <w:tc>
          <w:tcPr>
            <w:tcW w:w="5880" w:type="dxa"/>
            <w:gridSpan w:val="5"/>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color w:val="auto"/>
                <w:kern w:val="0"/>
                <w:sz w:val="22"/>
                <w:szCs w:val="22"/>
              </w:rPr>
            </w:pPr>
            <w:r>
              <w:rPr>
                <w:rFonts w:hint="eastAsia" w:ascii="仿宋_GB2312" w:hAnsi="仿宋_GB2312" w:eastAsia="仿宋_GB2312" w:cs="仿宋_GB2312"/>
                <w:b/>
                <w:bCs/>
                <w:color w:val="auto"/>
                <w:kern w:val="0"/>
                <w:sz w:val="22"/>
                <w:szCs w:val="22"/>
              </w:rPr>
              <w:t>周学时</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37</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37</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35</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34</w:t>
            </w:r>
          </w:p>
        </w:tc>
        <w:tc>
          <w:tcPr>
            <w:tcW w:w="52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default" w:ascii="仿宋_GB2312" w:hAnsi="仿宋_GB2312" w:eastAsia="仿宋_GB2312" w:cs="仿宋_GB2312"/>
                <w:b/>
                <w:bCs/>
                <w:color w:val="auto"/>
                <w:kern w:val="0"/>
                <w:sz w:val="22"/>
                <w:szCs w:val="22"/>
                <w:lang w:val="en-US" w:eastAsia="zh-CN"/>
              </w:rPr>
            </w:pPr>
            <w:r>
              <w:rPr>
                <w:rFonts w:hint="eastAsia" w:ascii="仿宋_GB2312" w:hAnsi="仿宋_GB2312" w:eastAsia="仿宋_GB2312" w:cs="仿宋_GB2312"/>
                <w:b/>
                <w:bCs/>
                <w:color w:val="auto"/>
                <w:kern w:val="0"/>
                <w:sz w:val="22"/>
                <w:szCs w:val="22"/>
                <w:lang w:val="en-US" w:eastAsia="zh-CN"/>
              </w:rPr>
              <w:t>26</w:t>
            </w:r>
          </w:p>
        </w:tc>
        <w:tc>
          <w:tcPr>
            <w:tcW w:w="54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hint="eastAsia" w:ascii="仿宋_GB2312" w:hAnsi="仿宋_GB2312" w:eastAsia="仿宋_GB2312" w:cs="仿宋_GB2312"/>
                <w:b/>
                <w:bCs/>
                <w:color w:val="auto"/>
                <w:kern w:val="0"/>
                <w:sz w:val="22"/>
                <w:szCs w:val="22"/>
              </w:rPr>
            </w:pPr>
            <w:r>
              <w:rPr>
                <w:rFonts w:hint="eastAsia" w:ascii="仿宋_GB2312" w:hAnsi="仿宋_GB2312" w:eastAsia="仿宋_GB2312" w:cs="仿宋_GB2312"/>
                <w:b/>
                <w:bCs/>
                <w:color w:val="auto"/>
                <w:kern w:val="0"/>
                <w:sz w:val="22"/>
                <w:szCs w:val="22"/>
              </w:rPr>
              <w:t>30</w:t>
            </w:r>
          </w:p>
        </w:tc>
        <w:tc>
          <w:tcPr>
            <w:tcW w:w="1080" w:type="dxa"/>
            <w:tcBorders>
              <w:top w:val="nil"/>
              <w:left w:val="nil"/>
              <w:bottom w:val="single" w:color="auto" w:sz="4" w:space="0"/>
              <w:right w:val="single" w:color="auto"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color w:val="auto"/>
                <w:kern w:val="0"/>
                <w:sz w:val="22"/>
                <w:szCs w:val="22"/>
              </w:rPr>
            </w:pPr>
          </w:p>
        </w:tc>
      </w:tr>
    </w:tbl>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3CBC4E6-B844-4417-B2C1-B1A9DE0FF53F}"/>
  </w:font>
  <w:font w:name="黑体">
    <w:panose1 w:val="02010609060101010101"/>
    <w:charset w:val="86"/>
    <w:family w:val="auto"/>
    <w:pitch w:val="default"/>
    <w:sig w:usb0="800002BF" w:usb1="38CF7CFA" w:usb2="00000016" w:usb3="00000000" w:csb0="00040001" w:csb1="00000000"/>
    <w:embedRegular r:id="rId2" w:fontKey="{E1EAD761-3245-4D03-8287-2623EF39EF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3" w:fontKey="{D957F289-BDF4-4DC9-AFCC-EAE4991BC073}"/>
  </w:font>
  <w:font w:name="仿宋_GB2312">
    <w:altName w:val="仿宋"/>
    <w:panose1 w:val="02010609030101010101"/>
    <w:charset w:val="86"/>
    <w:family w:val="modern"/>
    <w:pitch w:val="default"/>
    <w:sig w:usb0="00000000" w:usb1="00000000" w:usb2="00000000" w:usb3="00000000" w:csb0="00040000" w:csb1="00000000"/>
    <w:embedRegular r:id="rId4" w:fontKey="{D97E0F8F-8471-4D90-A605-258F91642FEA}"/>
  </w:font>
  <w:font w:name="楷体">
    <w:panose1 w:val="02010609060101010101"/>
    <w:charset w:val="86"/>
    <w:family w:val="auto"/>
    <w:pitch w:val="default"/>
    <w:sig w:usb0="800002BF" w:usb1="38CF7CFA" w:usb2="00000016" w:usb3="00000000" w:csb0="00040001" w:csb1="00000000"/>
    <w:embedRegular r:id="rId5" w:fontKey="{71BB0AF0-4BFB-4489-9214-89392F25A43B}"/>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3NDNhOTdlYmE2Nzc3YmE0ZDgwYjQ0MDVkMmI1MmQifQ=="/>
  </w:docVars>
  <w:rsids>
    <w:rsidRoot w:val="66207B97"/>
    <w:rsid w:val="0AF3764D"/>
    <w:rsid w:val="0DE17617"/>
    <w:rsid w:val="14D013EF"/>
    <w:rsid w:val="21CB6D59"/>
    <w:rsid w:val="2ECB3459"/>
    <w:rsid w:val="4B3126E7"/>
    <w:rsid w:val="56905C0B"/>
    <w:rsid w:val="5ECC7A23"/>
    <w:rsid w:val="66207B97"/>
    <w:rsid w:val="68653DA2"/>
    <w:rsid w:val="7E926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2024-01-22T06:53:00Z</dcterms:created>
  <dc:creator>直到花豆煮熟</dc:creator>
  <cp:lastModifiedBy>直到花豆煮熟</cp:lastModifiedBy>
  <dcterms:modified xsi:type="dcterms:W3CDTF">2024-02-21T15:34:35Z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75FB452C41CC45DBBFB4F6D1E805740B_11</vt:lpwstr>
  </property>
</Properties>
</file>